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3235"/>
        <w:gridCol w:w="3060"/>
        <w:gridCol w:w="3510"/>
        <w:gridCol w:w="3150"/>
      </w:tblGrid>
      <w:tr w:rsidR="006F52B6" w:rsidRPr="00261BFF" w14:paraId="1925C734" w14:textId="27CBD7E1" w:rsidTr="00933AB5">
        <w:tc>
          <w:tcPr>
            <w:tcW w:w="3235" w:type="dxa"/>
            <w:shd w:val="clear" w:color="auto" w:fill="D9E2F3" w:themeFill="accent1" w:themeFillTint="33"/>
          </w:tcPr>
          <w:p w14:paraId="28F59BF2" w14:textId="6F7F66F9" w:rsidR="006F52B6" w:rsidRPr="00261BFF" w:rsidRDefault="006F52B6">
            <w:pPr>
              <w:rPr>
                <w:b/>
                <w:bCs/>
              </w:rPr>
            </w:pPr>
            <w:r w:rsidRPr="00261BFF">
              <w:rPr>
                <w:b/>
                <w:bCs/>
              </w:rPr>
              <w:t>Key Contract Element</w:t>
            </w:r>
          </w:p>
        </w:tc>
        <w:tc>
          <w:tcPr>
            <w:tcW w:w="3060" w:type="dxa"/>
            <w:shd w:val="clear" w:color="auto" w:fill="D9E2F3" w:themeFill="accent1" w:themeFillTint="33"/>
          </w:tcPr>
          <w:p w14:paraId="716C494F" w14:textId="7B2EF5CE" w:rsidR="006F52B6" w:rsidRPr="00261BFF" w:rsidRDefault="006F52B6">
            <w:pPr>
              <w:rPr>
                <w:b/>
                <w:bCs/>
              </w:rPr>
            </w:pPr>
            <w:r w:rsidRPr="00261BFF">
              <w:rPr>
                <w:b/>
                <w:bCs/>
              </w:rPr>
              <w:t>Eastern Plumas RFPD</w:t>
            </w:r>
          </w:p>
        </w:tc>
        <w:tc>
          <w:tcPr>
            <w:tcW w:w="3510" w:type="dxa"/>
            <w:shd w:val="clear" w:color="auto" w:fill="D9E2F3" w:themeFill="accent1" w:themeFillTint="33"/>
          </w:tcPr>
          <w:p w14:paraId="624556F4" w14:textId="08D4A364" w:rsidR="006F52B6" w:rsidRPr="00261BFF" w:rsidRDefault="006F52B6">
            <w:pPr>
              <w:rPr>
                <w:b/>
                <w:bCs/>
              </w:rPr>
            </w:pPr>
            <w:r w:rsidRPr="00261BFF">
              <w:rPr>
                <w:b/>
                <w:bCs/>
              </w:rPr>
              <w:t>Beckwourth Fire</w:t>
            </w:r>
          </w:p>
        </w:tc>
        <w:tc>
          <w:tcPr>
            <w:tcW w:w="3150" w:type="dxa"/>
            <w:shd w:val="clear" w:color="auto" w:fill="D9E2F3" w:themeFill="accent1" w:themeFillTint="33"/>
          </w:tcPr>
          <w:p w14:paraId="522589F6" w14:textId="7EF2E251" w:rsidR="006F52B6" w:rsidRPr="00261BFF" w:rsidRDefault="00261BFF">
            <w:pPr>
              <w:rPr>
                <w:b/>
                <w:bCs/>
              </w:rPr>
            </w:pPr>
            <w:r w:rsidRPr="00261BFF">
              <w:rPr>
                <w:b/>
                <w:bCs/>
              </w:rPr>
              <w:t>Notes</w:t>
            </w:r>
          </w:p>
        </w:tc>
      </w:tr>
      <w:tr w:rsidR="006F52B6" w14:paraId="41554567" w14:textId="052A7731" w:rsidTr="00933AB5">
        <w:tc>
          <w:tcPr>
            <w:tcW w:w="3235" w:type="dxa"/>
          </w:tcPr>
          <w:p w14:paraId="5957D355" w14:textId="49D1832E" w:rsidR="006F52B6" w:rsidRDefault="00261BFF">
            <w:r>
              <w:t xml:space="preserve">Availability and </w:t>
            </w:r>
            <w:r w:rsidR="00CB6DDC">
              <w:t>T</w:t>
            </w:r>
            <w:r>
              <w:t xml:space="preserve">ype of </w:t>
            </w:r>
            <w:r w:rsidR="00CB6DDC">
              <w:t>A</w:t>
            </w:r>
            <w:r>
              <w:t xml:space="preserve">pparatus </w:t>
            </w:r>
          </w:p>
        </w:tc>
        <w:tc>
          <w:tcPr>
            <w:tcW w:w="3060" w:type="dxa"/>
          </w:tcPr>
          <w:p w14:paraId="19533B9F" w14:textId="73D37C7A" w:rsidR="006F52B6" w:rsidRDefault="00B357A3">
            <w:r>
              <w:t xml:space="preserve">All apparatus stored in </w:t>
            </w:r>
            <w:r w:rsidR="004F514A">
              <w:t>Delleker and</w:t>
            </w:r>
            <w:r>
              <w:t xml:space="preserve"> Lake Davis stations</w:t>
            </w:r>
          </w:p>
        </w:tc>
        <w:tc>
          <w:tcPr>
            <w:tcW w:w="3510" w:type="dxa"/>
          </w:tcPr>
          <w:p w14:paraId="29231123" w14:textId="5F817841" w:rsidR="006F52B6" w:rsidRDefault="00B357A3">
            <w:r>
              <w:t xml:space="preserve">Apparatus stored in Beckwourth and Grizzly Ranch Stations. </w:t>
            </w:r>
            <w:r w:rsidR="00E03999">
              <w:t xml:space="preserve">Has access to use </w:t>
            </w:r>
            <w:r>
              <w:t>apparatus owned by City of Portol</w:t>
            </w:r>
            <w:r w:rsidR="00E03999">
              <w:t>a to GM Call outs.</w:t>
            </w:r>
          </w:p>
        </w:tc>
        <w:tc>
          <w:tcPr>
            <w:tcW w:w="3150" w:type="dxa"/>
          </w:tcPr>
          <w:p w14:paraId="492B3797" w14:textId="361EC78E" w:rsidR="006F52B6" w:rsidRDefault="00B357A3">
            <w:r>
              <w:t xml:space="preserve">Beckwourth has </w:t>
            </w:r>
            <w:r w:rsidR="00E54267">
              <w:t>experience</w:t>
            </w:r>
            <w:r>
              <w:t xml:space="preserve"> of response to a variety of callouts including train derailments, airplane crashes.</w:t>
            </w:r>
          </w:p>
        </w:tc>
      </w:tr>
      <w:tr w:rsidR="006F52B6" w14:paraId="016F6AC4" w14:textId="1A007CD1" w:rsidTr="00933AB5">
        <w:tc>
          <w:tcPr>
            <w:tcW w:w="3235" w:type="dxa"/>
          </w:tcPr>
          <w:p w14:paraId="7F546A83" w14:textId="5CD65C0E" w:rsidR="006F52B6" w:rsidRDefault="00E03999">
            <w:r>
              <w:t>Response SLA</w:t>
            </w:r>
          </w:p>
        </w:tc>
        <w:tc>
          <w:tcPr>
            <w:tcW w:w="3060" w:type="dxa"/>
          </w:tcPr>
          <w:p w14:paraId="64872B95" w14:textId="4345932D" w:rsidR="006F52B6" w:rsidRDefault="00E03999">
            <w:r>
              <w:t>Contract states a target of 10 minutes from time of callout</w:t>
            </w:r>
            <w:r w:rsidR="004F514A">
              <w:t xml:space="preserve">. </w:t>
            </w:r>
            <w:r>
              <w:t>Actuals are 15-18 minutes.</w:t>
            </w:r>
          </w:p>
        </w:tc>
        <w:tc>
          <w:tcPr>
            <w:tcW w:w="3510" w:type="dxa"/>
          </w:tcPr>
          <w:p w14:paraId="309FE70B" w14:textId="2D19DA8E" w:rsidR="006F52B6" w:rsidRDefault="00E03999">
            <w:r>
              <w:t>Proposal cites 15-20 minutes from callout to the FLW building</w:t>
            </w:r>
          </w:p>
        </w:tc>
        <w:tc>
          <w:tcPr>
            <w:tcW w:w="3150" w:type="dxa"/>
          </w:tcPr>
          <w:p w14:paraId="1FC1130D" w14:textId="5B33E173" w:rsidR="006F52B6" w:rsidRDefault="00CB6DDC">
            <w:r>
              <w:t>There are reports that EP Fire responding personnel may not be qualified for the service rendered. These reports come from outside response to GMCSD</w:t>
            </w:r>
          </w:p>
        </w:tc>
      </w:tr>
      <w:tr w:rsidR="006F52B6" w14:paraId="711F0630" w14:textId="4D04AB3F" w:rsidTr="00933AB5">
        <w:tc>
          <w:tcPr>
            <w:tcW w:w="3235" w:type="dxa"/>
          </w:tcPr>
          <w:p w14:paraId="2A5F858C" w14:textId="0D832FD3" w:rsidR="006F52B6" w:rsidRDefault="00933AB5">
            <w:r>
              <w:t xml:space="preserve">Inspections of </w:t>
            </w:r>
            <w:r w:rsidR="00CB6DDC">
              <w:t>C</w:t>
            </w:r>
            <w:r>
              <w:t xml:space="preserve">ommercial </w:t>
            </w:r>
            <w:r w:rsidR="00CB6DDC">
              <w:t>F</w:t>
            </w:r>
            <w:r>
              <w:t>acilities</w:t>
            </w:r>
          </w:p>
        </w:tc>
        <w:tc>
          <w:tcPr>
            <w:tcW w:w="3060" w:type="dxa"/>
          </w:tcPr>
          <w:p w14:paraId="2D930302" w14:textId="512E7865" w:rsidR="006F52B6" w:rsidRDefault="00933AB5">
            <w:r>
              <w:t>In contract, however, it has been a challenge to have inspections done, followed upon.</w:t>
            </w:r>
          </w:p>
        </w:tc>
        <w:tc>
          <w:tcPr>
            <w:tcW w:w="3510" w:type="dxa"/>
          </w:tcPr>
          <w:p w14:paraId="7BE73D13" w14:textId="38060DCC" w:rsidR="006F52B6" w:rsidRDefault="00933AB5">
            <w:r>
              <w:t xml:space="preserve"># </w:t>
            </w:r>
            <w:r w:rsidR="004F514A">
              <w:t>One</w:t>
            </w:r>
            <w:r>
              <w:t xml:space="preserve"> priority is fire suppression</w:t>
            </w:r>
            <w:r w:rsidR="004F514A">
              <w:t xml:space="preserve">. </w:t>
            </w:r>
            <w:r>
              <w:t>Building Inspections called out as key to this priority. Inspections can include homes and pre-planning for both commercial and homes.</w:t>
            </w:r>
          </w:p>
        </w:tc>
        <w:tc>
          <w:tcPr>
            <w:tcW w:w="3150" w:type="dxa"/>
          </w:tcPr>
          <w:p w14:paraId="472A5B57" w14:textId="2234702F" w:rsidR="006F52B6" w:rsidRDefault="00933AB5">
            <w:r>
              <w:t>Recent communication from EPRFPD is their Chief will not pursue compliance of found deficiencies on behalf of GMCSD</w:t>
            </w:r>
            <w:r w:rsidR="00C02825">
              <w:t>. EPRFPD does not adhere to pre-planning as dictated in contract.</w:t>
            </w:r>
          </w:p>
        </w:tc>
      </w:tr>
      <w:tr w:rsidR="006F52B6" w14:paraId="66884F57" w14:textId="3EFEEF13" w:rsidTr="00933AB5">
        <w:tc>
          <w:tcPr>
            <w:tcW w:w="3235" w:type="dxa"/>
          </w:tcPr>
          <w:p w14:paraId="4E3D4078" w14:textId="54D037FB" w:rsidR="006F52B6" w:rsidRDefault="00C02825">
            <w:r>
              <w:t>Hazard Mitigation</w:t>
            </w:r>
          </w:p>
        </w:tc>
        <w:tc>
          <w:tcPr>
            <w:tcW w:w="3060" w:type="dxa"/>
          </w:tcPr>
          <w:p w14:paraId="1EDF1E20" w14:textId="6DD255A1" w:rsidR="006F52B6" w:rsidRDefault="00C02825">
            <w:r>
              <w:t xml:space="preserve">EPRFPD </w:t>
            </w:r>
            <w:r w:rsidR="004F514A">
              <w:t>does not</w:t>
            </w:r>
            <w:r>
              <w:t xml:space="preserve"> have a mitigation plan in place for Nakoma or </w:t>
            </w:r>
            <w:r w:rsidR="004F514A">
              <w:t>has not</w:t>
            </w:r>
            <w:r>
              <w:t xml:space="preserve"> communicated one. GMCSD </w:t>
            </w:r>
            <w:r w:rsidR="004F514A">
              <w:t>must</w:t>
            </w:r>
            <w:r>
              <w:t xml:space="preserve"> manage and keep EP Fire to contract terms.</w:t>
            </w:r>
          </w:p>
        </w:tc>
        <w:tc>
          <w:tcPr>
            <w:tcW w:w="3510" w:type="dxa"/>
          </w:tcPr>
          <w:p w14:paraId="709385FE" w14:textId="2D0F4229" w:rsidR="006F52B6" w:rsidRDefault="00C02825">
            <w:r>
              <w:t>BFD includes hazard mitigation as part of their fire protection priority. Traffic control is called out as a component of necessary incidents.</w:t>
            </w:r>
          </w:p>
        </w:tc>
        <w:tc>
          <w:tcPr>
            <w:tcW w:w="3150" w:type="dxa"/>
          </w:tcPr>
          <w:p w14:paraId="552676E8" w14:textId="642504D8" w:rsidR="006F52B6" w:rsidRDefault="00C02825">
            <w:r>
              <w:t>During the 2021 EP Fire contract review, it was called out that EP Fire was not communicative with GMCSD during the Dixie Fire</w:t>
            </w:r>
            <w:r w:rsidR="004F514A">
              <w:t xml:space="preserve">. </w:t>
            </w:r>
            <w:r>
              <w:t>When questioned, EP Fire in</w:t>
            </w:r>
            <w:r w:rsidR="00CB6DDC">
              <w:t xml:space="preserve">dicated they </w:t>
            </w:r>
            <w:r w:rsidR="004F514A">
              <w:t>would not</w:t>
            </w:r>
            <w:r w:rsidR="00CB6DDC">
              <w:t xml:space="preserve"> be responsible for coordination.</w:t>
            </w:r>
          </w:p>
        </w:tc>
      </w:tr>
      <w:tr w:rsidR="006F52B6" w14:paraId="5064B234" w14:textId="3FAC754D" w:rsidTr="00933AB5">
        <w:tc>
          <w:tcPr>
            <w:tcW w:w="3235" w:type="dxa"/>
          </w:tcPr>
          <w:p w14:paraId="1658B65E" w14:textId="21D5C780" w:rsidR="006F52B6" w:rsidRDefault="00CB6DDC">
            <w:r>
              <w:t>Emergency Medical Services</w:t>
            </w:r>
          </w:p>
        </w:tc>
        <w:tc>
          <w:tcPr>
            <w:tcW w:w="3060" w:type="dxa"/>
          </w:tcPr>
          <w:p w14:paraId="6458EDFE" w14:textId="79524039" w:rsidR="006F52B6" w:rsidRDefault="00CB6DDC">
            <w:r>
              <w:t>It is unknown if EP Fire has a EMR training requirement for all personnel</w:t>
            </w:r>
          </w:p>
        </w:tc>
        <w:tc>
          <w:tcPr>
            <w:tcW w:w="3510" w:type="dxa"/>
          </w:tcPr>
          <w:p w14:paraId="42AF0BCE" w14:textId="615EBFB5" w:rsidR="006F52B6" w:rsidRDefault="00CB6DDC">
            <w:r>
              <w:t xml:space="preserve">All BFD’s personnel </w:t>
            </w:r>
            <w:r w:rsidR="004F514A">
              <w:t>have</w:t>
            </w:r>
            <w:r>
              <w:t xml:space="preserve"> a minimum standard to be trained as an EMR within a 1 yr. timeframe from hire</w:t>
            </w:r>
          </w:p>
        </w:tc>
        <w:tc>
          <w:tcPr>
            <w:tcW w:w="3150" w:type="dxa"/>
          </w:tcPr>
          <w:p w14:paraId="561CEEB4" w14:textId="21CBC505" w:rsidR="006F52B6" w:rsidRDefault="00551802">
            <w:r>
              <w:t>Possible BFD has a larger pool of qualified EMR’s to respond to callouts</w:t>
            </w:r>
            <w:r w:rsidR="004F514A">
              <w:t xml:space="preserve">. </w:t>
            </w:r>
            <w:r>
              <w:t>Important during a large medical response situation</w:t>
            </w:r>
          </w:p>
        </w:tc>
      </w:tr>
      <w:tr w:rsidR="006F52B6" w14:paraId="68B773FF" w14:textId="2EFE402A" w:rsidTr="00933AB5">
        <w:tc>
          <w:tcPr>
            <w:tcW w:w="3235" w:type="dxa"/>
          </w:tcPr>
          <w:p w14:paraId="421562F6" w14:textId="0DA29086" w:rsidR="006F52B6" w:rsidRDefault="00551802">
            <w:r>
              <w:t xml:space="preserve">Personnel </w:t>
            </w:r>
          </w:p>
        </w:tc>
        <w:tc>
          <w:tcPr>
            <w:tcW w:w="3060" w:type="dxa"/>
          </w:tcPr>
          <w:p w14:paraId="49824AB0" w14:textId="65839FFF" w:rsidR="006F52B6" w:rsidRDefault="00551802">
            <w:r>
              <w:t>Chief is a part time (stipend) position</w:t>
            </w:r>
            <w:r w:rsidR="004F514A">
              <w:t xml:space="preserve">. </w:t>
            </w:r>
            <w:r>
              <w:t xml:space="preserve">Other officers may receive limited compensation </w:t>
            </w:r>
            <w:r w:rsidR="00A96A66">
              <w:t>as duty officers.</w:t>
            </w:r>
          </w:p>
        </w:tc>
        <w:tc>
          <w:tcPr>
            <w:tcW w:w="3510" w:type="dxa"/>
          </w:tcPr>
          <w:p w14:paraId="26781B2E" w14:textId="74C81E7D" w:rsidR="006F52B6" w:rsidRDefault="00551802">
            <w:r>
              <w:t xml:space="preserve">BFD has financial resources for 6 part time paid duty officers, staffing </w:t>
            </w:r>
            <w:r w:rsidR="00A96A66">
              <w:t xml:space="preserve">M-Sun. to decrease response times. </w:t>
            </w:r>
          </w:p>
        </w:tc>
        <w:tc>
          <w:tcPr>
            <w:tcW w:w="3150" w:type="dxa"/>
          </w:tcPr>
          <w:p w14:paraId="6AF05DC0" w14:textId="2EFDFABC" w:rsidR="006F52B6" w:rsidRDefault="00A96A66">
            <w:r>
              <w:t>EP Fire has been called out by LAFCo as having strained and sound financial basis.</w:t>
            </w:r>
          </w:p>
        </w:tc>
      </w:tr>
      <w:tr w:rsidR="00A96A66" w:rsidRPr="00261BFF" w14:paraId="6AF5518E" w14:textId="77777777" w:rsidTr="002B4C47">
        <w:tc>
          <w:tcPr>
            <w:tcW w:w="3235" w:type="dxa"/>
            <w:shd w:val="clear" w:color="auto" w:fill="D9E2F3" w:themeFill="accent1" w:themeFillTint="33"/>
          </w:tcPr>
          <w:p w14:paraId="3D1A8240" w14:textId="77777777" w:rsidR="00A96A66" w:rsidRPr="00261BFF" w:rsidRDefault="00A96A66" w:rsidP="002B4C47">
            <w:pPr>
              <w:rPr>
                <w:b/>
                <w:bCs/>
              </w:rPr>
            </w:pPr>
            <w:r w:rsidRPr="00261BFF">
              <w:rPr>
                <w:b/>
                <w:bCs/>
              </w:rPr>
              <w:lastRenderedPageBreak/>
              <w:t>Key Contract Element</w:t>
            </w:r>
          </w:p>
        </w:tc>
        <w:tc>
          <w:tcPr>
            <w:tcW w:w="3060" w:type="dxa"/>
            <w:shd w:val="clear" w:color="auto" w:fill="D9E2F3" w:themeFill="accent1" w:themeFillTint="33"/>
          </w:tcPr>
          <w:p w14:paraId="3D03B368" w14:textId="77777777" w:rsidR="00A96A66" w:rsidRPr="00261BFF" w:rsidRDefault="00A96A66" w:rsidP="002B4C47">
            <w:pPr>
              <w:rPr>
                <w:b/>
                <w:bCs/>
              </w:rPr>
            </w:pPr>
            <w:r w:rsidRPr="00261BFF">
              <w:rPr>
                <w:b/>
                <w:bCs/>
              </w:rPr>
              <w:t>Eastern Plumas RFPD</w:t>
            </w:r>
          </w:p>
        </w:tc>
        <w:tc>
          <w:tcPr>
            <w:tcW w:w="3510" w:type="dxa"/>
            <w:shd w:val="clear" w:color="auto" w:fill="D9E2F3" w:themeFill="accent1" w:themeFillTint="33"/>
          </w:tcPr>
          <w:p w14:paraId="520674AC" w14:textId="77777777" w:rsidR="00A96A66" w:rsidRPr="00261BFF" w:rsidRDefault="00A96A66" w:rsidP="002B4C47">
            <w:pPr>
              <w:rPr>
                <w:b/>
                <w:bCs/>
              </w:rPr>
            </w:pPr>
            <w:r w:rsidRPr="00261BFF">
              <w:rPr>
                <w:b/>
                <w:bCs/>
              </w:rPr>
              <w:t>Beckwourth Fire</w:t>
            </w:r>
          </w:p>
        </w:tc>
        <w:tc>
          <w:tcPr>
            <w:tcW w:w="3150" w:type="dxa"/>
            <w:shd w:val="clear" w:color="auto" w:fill="D9E2F3" w:themeFill="accent1" w:themeFillTint="33"/>
          </w:tcPr>
          <w:p w14:paraId="5CB6C6CB" w14:textId="77777777" w:rsidR="00A96A66" w:rsidRPr="00261BFF" w:rsidRDefault="00A96A66" w:rsidP="002B4C47">
            <w:pPr>
              <w:rPr>
                <w:b/>
                <w:bCs/>
              </w:rPr>
            </w:pPr>
            <w:r w:rsidRPr="00261BFF">
              <w:rPr>
                <w:b/>
                <w:bCs/>
              </w:rPr>
              <w:t>Notes</w:t>
            </w:r>
          </w:p>
        </w:tc>
      </w:tr>
      <w:tr w:rsidR="006F52B6" w14:paraId="5403B8FC" w14:textId="22498E6E" w:rsidTr="00933AB5">
        <w:tc>
          <w:tcPr>
            <w:tcW w:w="3235" w:type="dxa"/>
          </w:tcPr>
          <w:p w14:paraId="60E9F7FE" w14:textId="3B5078FF" w:rsidR="006F52B6" w:rsidRDefault="00A96A66">
            <w:r>
              <w:t>Contract for Services Cost</w:t>
            </w:r>
          </w:p>
        </w:tc>
        <w:tc>
          <w:tcPr>
            <w:tcW w:w="3060" w:type="dxa"/>
          </w:tcPr>
          <w:p w14:paraId="2C056292" w14:textId="186F7FD1" w:rsidR="006F52B6" w:rsidRDefault="00A96A66">
            <w:r>
              <w:t>Evergreen contract ex</w:t>
            </w:r>
            <w:r w:rsidR="001F4424">
              <w:t>pires June 15, 2024</w:t>
            </w:r>
            <w:r w:rsidR="004F514A">
              <w:t xml:space="preserve">. </w:t>
            </w:r>
            <w:r w:rsidR="001F4424">
              <w:t>90-day notification to cancel without cause.</w:t>
            </w:r>
          </w:p>
          <w:p w14:paraId="0ADBBCDE" w14:textId="52F61622" w:rsidR="001F4424" w:rsidRDefault="001F4424">
            <w:r>
              <w:t>3% annual inflation adjustment.</w:t>
            </w:r>
          </w:p>
        </w:tc>
        <w:tc>
          <w:tcPr>
            <w:tcW w:w="3510" w:type="dxa"/>
          </w:tcPr>
          <w:p w14:paraId="4BCD047D" w14:textId="77777777" w:rsidR="001F4424" w:rsidRDefault="001F4424">
            <w:r>
              <w:t xml:space="preserve">Proposal for 1-yr. renewable contract. </w:t>
            </w:r>
          </w:p>
          <w:p w14:paraId="5A6D17A7" w14:textId="26314912" w:rsidR="006F52B6" w:rsidRDefault="001F4424">
            <w:r>
              <w:t>2% inflation adjustment.</w:t>
            </w:r>
          </w:p>
          <w:p w14:paraId="2AE95236" w14:textId="55CAA6C8" w:rsidR="001F4424" w:rsidRDefault="001F4424"/>
        </w:tc>
        <w:tc>
          <w:tcPr>
            <w:tcW w:w="3150" w:type="dxa"/>
          </w:tcPr>
          <w:p w14:paraId="7AE9D937" w14:textId="77777777" w:rsidR="006F52B6" w:rsidRDefault="006F52B6"/>
        </w:tc>
      </w:tr>
    </w:tbl>
    <w:p w14:paraId="42A2A1B3" w14:textId="13321E28" w:rsidR="006F52B6" w:rsidRDefault="006F52B6"/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1705"/>
        <w:gridCol w:w="2160"/>
        <w:gridCol w:w="4410"/>
        <w:gridCol w:w="4680"/>
      </w:tblGrid>
      <w:tr w:rsidR="00B60E15" w14:paraId="45EECC74" w14:textId="0C954927" w:rsidTr="00962B7A">
        <w:tc>
          <w:tcPr>
            <w:tcW w:w="1705" w:type="dxa"/>
            <w:shd w:val="clear" w:color="auto" w:fill="D9E2F3" w:themeFill="accent1" w:themeFillTint="33"/>
          </w:tcPr>
          <w:p w14:paraId="79240155" w14:textId="79126BC2" w:rsidR="00B60E15" w:rsidRPr="00B60E15" w:rsidRDefault="00B60E15">
            <w:pPr>
              <w:rPr>
                <w:b/>
                <w:bCs/>
              </w:rPr>
            </w:pPr>
            <w:r w:rsidRPr="00B60E15">
              <w:rPr>
                <w:b/>
                <w:bCs/>
              </w:rPr>
              <w:t>Service Contract Year</w:t>
            </w:r>
          </w:p>
        </w:tc>
        <w:tc>
          <w:tcPr>
            <w:tcW w:w="2160" w:type="dxa"/>
            <w:shd w:val="clear" w:color="auto" w:fill="D9E2F3" w:themeFill="accent1" w:themeFillTint="33"/>
          </w:tcPr>
          <w:p w14:paraId="7554040D" w14:textId="473E50B4" w:rsidR="00B60E15" w:rsidRPr="00B60E15" w:rsidRDefault="00B60E15">
            <w:pPr>
              <w:rPr>
                <w:b/>
                <w:bCs/>
              </w:rPr>
            </w:pPr>
            <w:r w:rsidRPr="00B60E15">
              <w:rPr>
                <w:b/>
                <w:bCs/>
              </w:rPr>
              <w:t>Eastern Plumas RFPD</w:t>
            </w:r>
          </w:p>
        </w:tc>
        <w:tc>
          <w:tcPr>
            <w:tcW w:w="4410" w:type="dxa"/>
            <w:shd w:val="clear" w:color="auto" w:fill="D9E2F3" w:themeFill="accent1" w:themeFillTint="33"/>
          </w:tcPr>
          <w:p w14:paraId="332C4F66" w14:textId="04565119" w:rsidR="00B60E15" w:rsidRPr="00B60E15" w:rsidRDefault="00B60E15">
            <w:pPr>
              <w:rPr>
                <w:b/>
                <w:bCs/>
              </w:rPr>
            </w:pPr>
            <w:r w:rsidRPr="00B60E15">
              <w:rPr>
                <w:b/>
                <w:bCs/>
              </w:rPr>
              <w:t>Beckwourth Fire District</w:t>
            </w:r>
          </w:p>
        </w:tc>
        <w:tc>
          <w:tcPr>
            <w:tcW w:w="4680" w:type="dxa"/>
            <w:shd w:val="clear" w:color="auto" w:fill="D9E2F3" w:themeFill="accent1" w:themeFillTint="33"/>
          </w:tcPr>
          <w:p w14:paraId="56241DD4" w14:textId="0D772E5D" w:rsidR="00B60E15" w:rsidRPr="00B60E15" w:rsidRDefault="00B60E15">
            <w:pPr>
              <w:rPr>
                <w:b/>
                <w:bCs/>
              </w:rPr>
            </w:pPr>
            <w:r w:rsidRPr="00B60E15">
              <w:rPr>
                <w:b/>
                <w:bCs/>
              </w:rPr>
              <w:t>Notes</w:t>
            </w:r>
          </w:p>
        </w:tc>
      </w:tr>
      <w:tr w:rsidR="00B60E15" w14:paraId="3458F108" w14:textId="429944DA" w:rsidTr="00962B7A">
        <w:tc>
          <w:tcPr>
            <w:tcW w:w="1705" w:type="dxa"/>
          </w:tcPr>
          <w:p w14:paraId="75265428" w14:textId="3AFECE31" w:rsidR="00B60E15" w:rsidRDefault="00B60E15">
            <w:r>
              <w:t>2022</w:t>
            </w:r>
          </w:p>
        </w:tc>
        <w:tc>
          <w:tcPr>
            <w:tcW w:w="2160" w:type="dxa"/>
          </w:tcPr>
          <w:p w14:paraId="5A777073" w14:textId="13C98F90" w:rsidR="00B60E15" w:rsidRDefault="00962B7A">
            <w:r>
              <w:t>$39,500</w:t>
            </w:r>
          </w:p>
        </w:tc>
        <w:tc>
          <w:tcPr>
            <w:tcW w:w="4410" w:type="dxa"/>
          </w:tcPr>
          <w:p w14:paraId="6B1E7112" w14:textId="2310210D" w:rsidR="00B60E15" w:rsidRDefault="00962B7A">
            <w:r>
              <w:t>Option A - $58,000 ($158.90 daily rate)</w:t>
            </w:r>
          </w:p>
          <w:p w14:paraId="3321D79A" w14:textId="5E3F678D" w:rsidR="00962B7A" w:rsidRDefault="00962B7A">
            <w:r>
              <w:t>Option B - $65,000 ($178.08 daily rate)</w:t>
            </w:r>
          </w:p>
        </w:tc>
        <w:tc>
          <w:tcPr>
            <w:tcW w:w="4680" w:type="dxa"/>
          </w:tcPr>
          <w:p w14:paraId="5C0C0CD8" w14:textId="77777777" w:rsidR="00B60E15" w:rsidRDefault="00962B7A">
            <w:r w:rsidRPr="007D12BE">
              <w:rPr>
                <w:b/>
                <w:bCs/>
              </w:rPr>
              <w:t>Option A</w:t>
            </w:r>
            <w:r>
              <w:t xml:space="preserve"> – provides a staff</w:t>
            </w:r>
            <w:r w:rsidR="007D12BE">
              <w:t>ed duty officer for 8 hrs. seven days a week</w:t>
            </w:r>
          </w:p>
          <w:p w14:paraId="641672F9" w14:textId="77777777" w:rsidR="007D12BE" w:rsidRDefault="007D12BE">
            <w:r w:rsidRPr="007D12BE">
              <w:rPr>
                <w:b/>
                <w:bCs/>
              </w:rPr>
              <w:t>Option B</w:t>
            </w:r>
            <w:r>
              <w:t xml:space="preserve"> – hires additional personnel whose sole focus would be the Nakoma Community and GM CSD.</w:t>
            </w:r>
          </w:p>
          <w:p w14:paraId="0CF33C2F" w14:textId="5EBD3E19" w:rsidR="007D12BE" w:rsidRDefault="007D12BE">
            <w:r>
              <w:t>*There is no indication where the duty officer or additional personnel would be stationed.</w:t>
            </w:r>
          </w:p>
        </w:tc>
      </w:tr>
      <w:tr w:rsidR="00B60E15" w14:paraId="5002A9D3" w14:textId="6A589A82" w:rsidTr="00962B7A">
        <w:tc>
          <w:tcPr>
            <w:tcW w:w="1705" w:type="dxa"/>
          </w:tcPr>
          <w:p w14:paraId="5323A1B0" w14:textId="14A2E154" w:rsidR="00B60E15" w:rsidRDefault="00B60E15">
            <w:r>
              <w:t>2023</w:t>
            </w:r>
          </w:p>
        </w:tc>
        <w:tc>
          <w:tcPr>
            <w:tcW w:w="2160" w:type="dxa"/>
          </w:tcPr>
          <w:p w14:paraId="18FEB85A" w14:textId="49A8030B" w:rsidR="00B60E15" w:rsidRDefault="00962B7A">
            <w:r>
              <w:t>$40,685</w:t>
            </w:r>
          </w:p>
        </w:tc>
        <w:tc>
          <w:tcPr>
            <w:tcW w:w="4410" w:type="dxa"/>
          </w:tcPr>
          <w:p w14:paraId="130E1C9A" w14:textId="77777777" w:rsidR="00B60E15" w:rsidRDefault="00962B7A">
            <w:r>
              <w:t>Option A - $59,160</w:t>
            </w:r>
          </w:p>
          <w:p w14:paraId="7EF31F3F" w14:textId="16B39E12" w:rsidR="00962B7A" w:rsidRDefault="00962B7A">
            <w:r>
              <w:t>Option B - $66,300</w:t>
            </w:r>
          </w:p>
        </w:tc>
        <w:tc>
          <w:tcPr>
            <w:tcW w:w="4680" w:type="dxa"/>
          </w:tcPr>
          <w:p w14:paraId="642C5959" w14:textId="77777777" w:rsidR="00B60E15" w:rsidRDefault="00B60E15"/>
        </w:tc>
      </w:tr>
      <w:tr w:rsidR="00B60E15" w14:paraId="39E3F567" w14:textId="146C894C" w:rsidTr="00962B7A">
        <w:tc>
          <w:tcPr>
            <w:tcW w:w="1705" w:type="dxa"/>
          </w:tcPr>
          <w:p w14:paraId="1139D9E6" w14:textId="5C809C50" w:rsidR="00B60E15" w:rsidRDefault="00B60E15">
            <w:r>
              <w:t>2024</w:t>
            </w:r>
          </w:p>
        </w:tc>
        <w:tc>
          <w:tcPr>
            <w:tcW w:w="2160" w:type="dxa"/>
          </w:tcPr>
          <w:p w14:paraId="736902A6" w14:textId="41A3A043" w:rsidR="00B60E15" w:rsidRDefault="00962B7A">
            <w:r>
              <w:t>$41,906</w:t>
            </w:r>
          </w:p>
        </w:tc>
        <w:tc>
          <w:tcPr>
            <w:tcW w:w="4410" w:type="dxa"/>
          </w:tcPr>
          <w:p w14:paraId="47FAC449" w14:textId="3465CDC6" w:rsidR="00B60E15" w:rsidRDefault="00962B7A">
            <w:r>
              <w:t>Option A</w:t>
            </w:r>
            <w:r w:rsidR="007D12BE">
              <w:t xml:space="preserve"> - </w:t>
            </w:r>
            <w:r>
              <w:t>$60,343</w:t>
            </w:r>
          </w:p>
          <w:p w14:paraId="1E97A00E" w14:textId="4093E73E" w:rsidR="00962B7A" w:rsidRDefault="00962B7A">
            <w:r>
              <w:t>Option B - $67,626</w:t>
            </w:r>
          </w:p>
        </w:tc>
        <w:tc>
          <w:tcPr>
            <w:tcW w:w="4680" w:type="dxa"/>
          </w:tcPr>
          <w:p w14:paraId="22DBD38C" w14:textId="77777777" w:rsidR="00B60E15" w:rsidRDefault="00B60E15"/>
        </w:tc>
      </w:tr>
    </w:tbl>
    <w:p w14:paraId="04BBA9D8" w14:textId="77777777" w:rsidR="001F4424" w:rsidRDefault="001F4424"/>
    <w:sectPr w:rsidR="001F4424" w:rsidSect="006F52B6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EEECE" w14:textId="77777777" w:rsidR="00FF247C" w:rsidRDefault="00FF247C" w:rsidP="006F52B6">
      <w:pPr>
        <w:spacing w:after="0" w:line="240" w:lineRule="auto"/>
      </w:pPr>
      <w:r>
        <w:separator/>
      </w:r>
    </w:p>
  </w:endnote>
  <w:endnote w:type="continuationSeparator" w:id="0">
    <w:p w14:paraId="61EC5235" w14:textId="77777777" w:rsidR="00FF247C" w:rsidRDefault="00FF247C" w:rsidP="006F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20A18" w14:textId="77777777" w:rsidR="00FF247C" w:rsidRDefault="00FF247C" w:rsidP="006F52B6">
      <w:pPr>
        <w:spacing w:after="0" w:line="240" w:lineRule="auto"/>
      </w:pPr>
      <w:r>
        <w:separator/>
      </w:r>
    </w:p>
  </w:footnote>
  <w:footnote w:type="continuationSeparator" w:id="0">
    <w:p w14:paraId="6CFFE0E7" w14:textId="77777777" w:rsidR="00FF247C" w:rsidRDefault="00FF247C" w:rsidP="006F52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AC9C4" w14:textId="063646B8" w:rsidR="006F52B6" w:rsidRDefault="006F52B6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6B43B7D7" wp14:editId="1FF09963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E92C80C" w14:textId="41774D2C" w:rsidR="006F52B6" w:rsidRPr="006F52B6" w:rsidRDefault="006F52B6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jc w:val="center"/>
                            <w:rPr>
                              <w: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sdt>
                            <w:sdtPr>
                              <w:rPr>
                                <w:caps/>
                                <w:color w:val="FFFFFF" w:themeColor="background1"/>
                                <w:sz w:val="28"/>
                                <w:szCs w:val="28"/>
                              </w:rPr>
                              <w:alias w:val="Title"/>
                              <w:tag w:val=""/>
                              <w:id w:val="1189017394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r w:rsidRPr="006F52B6">
                                <w:rPr>
                                  <w:cap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Key elements of contracted fire protection &amp; emergency medical services – </w:t>
                              </w:r>
                              <w:r w:rsidR="00261BFF">
                                <w:rPr>
                                  <w:cap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                                        </w:t>
                              </w:r>
                              <w:r w:rsidRPr="006F52B6">
                                <w:rPr>
                                  <w:caps/>
                                  <w:color w:val="FFFFFF" w:themeColor="background1"/>
                                  <w:sz w:val="28"/>
                                  <w:szCs w:val="28"/>
                                </w:rPr>
                                <w:t>a comparision</w:t>
                              </w:r>
                            </w:sdtContent>
                          </w:sdt>
                          <w:r w:rsidR="00261BFF">
                            <w:rPr>
                              <w:caps/>
                              <w:color w:val="FFFFFF" w:themeColor="background1"/>
                              <w:sz w:val="28"/>
                              <w:szCs w:val="28"/>
                            </w:rPr>
                            <w:t xml:space="preserve"> of Differences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6B43B7D7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6E92C80C" w14:textId="41774D2C" w:rsidR="006F52B6" w:rsidRPr="006F52B6" w:rsidRDefault="006F52B6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jc w:val="center"/>
                      <w:rPr>
                        <w:caps/>
                        <w:color w:val="FFFFFF" w:themeColor="background1"/>
                        <w:sz w:val="28"/>
                        <w:szCs w:val="28"/>
                      </w:rPr>
                    </w:pPr>
                    <w:sdt>
                      <w:sdtPr>
                        <w:rPr>
                          <w:caps/>
                          <w:color w:val="FFFFFF" w:themeColor="background1"/>
                          <w:sz w:val="28"/>
                          <w:szCs w:val="28"/>
                        </w:rPr>
                        <w:alias w:val="Title"/>
                        <w:tag w:val=""/>
                        <w:id w:val="1189017394"/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Content>
                        <w:r w:rsidRPr="006F52B6">
                          <w:rPr>
                            <w:caps/>
                            <w:color w:val="FFFFFF" w:themeColor="background1"/>
                            <w:sz w:val="28"/>
                            <w:szCs w:val="28"/>
                          </w:rPr>
                          <w:t xml:space="preserve">Key elements of contracted fire protection &amp; emergency medical services – </w:t>
                        </w:r>
                        <w:r w:rsidR="00261BFF">
                          <w:rPr>
                            <w:caps/>
                            <w:color w:val="FFFFFF" w:themeColor="background1"/>
                            <w:sz w:val="28"/>
                            <w:szCs w:val="28"/>
                          </w:rPr>
                          <w:t xml:space="preserve">                                        </w:t>
                        </w:r>
                        <w:r w:rsidRPr="006F52B6">
                          <w:rPr>
                            <w:caps/>
                            <w:color w:val="FFFFFF" w:themeColor="background1"/>
                            <w:sz w:val="28"/>
                            <w:szCs w:val="28"/>
                          </w:rPr>
                          <w:t>a comparision</w:t>
                        </w:r>
                      </w:sdtContent>
                    </w:sdt>
                    <w:r w:rsidR="00261BFF">
                      <w:rPr>
                        <w:caps/>
                        <w:color w:val="FFFFFF" w:themeColor="background1"/>
                        <w:sz w:val="28"/>
                        <w:szCs w:val="28"/>
                      </w:rPr>
                      <w:t xml:space="preserve"> of Differences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2B6"/>
    <w:rsid w:val="001F4424"/>
    <w:rsid w:val="00261BFF"/>
    <w:rsid w:val="004F514A"/>
    <w:rsid w:val="00551802"/>
    <w:rsid w:val="006F52B6"/>
    <w:rsid w:val="007D12BE"/>
    <w:rsid w:val="00933AB5"/>
    <w:rsid w:val="00962B7A"/>
    <w:rsid w:val="00A96A66"/>
    <w:rsid w:val="00B357A3"/>
    <w:rsid w:val="00B60E15"/>
    <w:rsid w:val="00C02825"/>
    <w:rsid w:val="00CB6DDC"/>
    <w:rsid w:val="00E03999"/>
    <w:rsid w:val="00E54267"/>
    <w:rsid w:val="00FF2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CFA547"/>
  <w15:chartTrackingRefBased/>
  <w15:docId w15:val="{76F41553-3A6E-485A-975F-F9DD45EF7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52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52B6"/>
  </w:style>
  <w:style w:type="paragraph" w:styleId="Footer">
    <w:name w:val="footer"/>
    <w:basedOn w:val="Normal"/>
    <w:link w:val="FooterChar"/>
    <w:uiPriority w:val="99"/>
    <w:unhideWhenUsed/>
    <w:rsid w:val="006F52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52B6"/>
  </w:style>
  <w:style w:type="table" w:styleId="TableGrid">
    <w:name w:val="Table Grid"/>
    <w:basedOn w:val="TableNormal"/>
    <w:uiPriority w:val="39"/>
    <w:rsid w:val="006F52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Key elements of contracted fire protection &amp; emergency medical services – a comparision</vt:lpstr>
    </vt:vector>
  </TitlesOfParts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Key elements of contracted fire protection &amp; emergency medical services – a comparision</dc:title>
  <dc:subject/>
  <dc:creator>Cary Curtis</dc:creator>
  <cp:keywords/>
  <dc:description/>
  <cp:lastModifiedBy>Cary Curtis</cp:lastModifiedBy>
  <cp:revision>2</cp:revision>
  <dcterms:created xsi:type="dcterms:W3CDTF">2022-09-03T22:28:00Z</dcterms:created>
  <dcterms:modified xsi:type="dcterms:W3CDTF">2022-09-03T23:47:00Z</dcterms:modified>
</cp:coreProperties>
</file>