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Pr="00262C62" w:rsidRDefault="00333CFB" w:rsidP="00333CFB">
      <w:pPr>
        <w:rPr>
          <w:rFonts w:cstheme="minorHAnsi"/>
          <w:sz w:val="24"/>
          <w:szCs w:val="24"/>
        </w:rPr>
      </w:pPr>
      <w:r w:rsidRPr="00262C62">
        <w:rPr>
          <w:rFonts w:cstheme="minorHAnsi"/>
          <w:sz w:val="24"/>
          <w:szCs w:val="24"/>
        </w:rPr>
        <w:t>This brief is being provided to inform</w:t>
      </w:r>
      <w:r w:rsidR="000C7A55" w:rsidRPr="00262C62">
        <w:rPr>
          <w:rFonts w:cstheme="minorHAnsi"/>
          <w:sz w:val="24"/>
          <w:szCs w:val="24"/>
        </w:rPr>
        <w:t xml:space="preserve"> the B</w:t>
      </w:r>
      <w:r w:rsidRPr="00262C62">
        <w:rPr>
          <w:rFonts w:cstheme="minorHAnsi"/>
          <w:sz w:val="24"/>
          <w:szCs w:val="24"/>
        </w:rPr>
        <w:t xml:space="preserve">oard, staff and public of the details of an agenda item that requires action from the </w:t>
      </w:r>
      <w:r w:rsidR="000C7A55" w:rsidRPr="00262C62">
        <w:rPr>
          <w:rFonts w:cstheme="minorHAnsi"/>
          <w:sz w:val="24"/>
          <w:szCs w:val="24"/>
        </w:rPr>
        <w:t>B</w:t>
      </w:r>
      <w:r w:rsidRPr="00262C62">
        <w:rPr>
          <w:rFonts w:cstheme="minorHAnsi"/>
          <w:sz w:val="24"/>
          <w:szCs w:val="24"/>
        </w:rPr>
        <w:t xml:space="preserve">oard.  The President of the Board will provide board members, staff, and the public the opportunity to ask questions about this topic when this agenda item is announced.    </w:t>
      </w:r>
    </w:p>
    <w:p w14:paraId="37ADDB31" w14:textId="77777777" w:rsidR="00A35AD7" w:rsidRPr="00262C62" w:rsidRDefault="00A35AD7">
      <w:pPr>
        <w:rPr>
          <w:rFonts w:cstheme="minorHAnsi"/>
          <w:b/>
          <w:bCs/>
          <w:sz w:val="24"/>
          <w:szCs w:val="24"/>
        </w:rPr>
      </w:pPr>
    </w:p>
    <w:p w14:paraId="4A3980D2" w14:textId="5122B0D4" w:rsidR="00E02FAE" w:rsidRPr="00262C62" w:rsidRDefault="002C4050">
      <w:pPr>
        <w:rPr>
          <w:rFonts w:cstheme="minorHAnsi"/>
          <w:b/>
          <w:bCs/>
          <w:sz w:val="24"/>
          <w:szCs w:val="24"/>
        </w:rPr>
      </w:pPr>
      <w:r w:rsidRPr="00262C62">
        <w:rPr>
          <w:rFonts w:cstheme="minorHAnsi"/>
          <w:b/>
          <w:bCs/>
          <w:sz w:val="24"/>
          <w:szCs w:val="24"/>
        </w:rPr>
        <w:t>Date:</w:t>
      </w:r>
      <w:bookmarkStart w:id="0" w:name="_Hlk57574871"/>
      <w:r w:rsidR="00483E74" w:rsidRPr="00262C62">
        <w:rPr>
          <w:rFonts w:cstheme="minorHAnsi"/>
          <w:b/>
          <w:bCs/>
          <w:sz w:val="24"/>
          <w:szCs w:val="24"/>
        </w:rPr>
        <w:t xml:space="preserve">   </w:t>
      </w:r>
      <w:r w:rsidR="00A35AD7" w:rsidRPr="00262C62">
        <w:rPr>
          <w:rFonts w:cstheme="minorHAnsi"/>
          <w:sz w:val="24"/>
          <w:szCs w:val="24"/>
        </w:rPr>
        <w:t>November 1</w:t>
      </w:r>
      <w:r w:rsidR="0035336F" w:rsidRPr="00262C62">
        <w:rPr>
          <w:rFonts w:cstheme="minorHAnsi"/>
          <w:sz w:val="24"/>
          <w:szCs w:val="24"/>
        </w:rPr>
        <w:t>, 2021</w:t>
      </w:r>
    </w:p>
    <w:p w14:paraId="58269DD5" w14:textId="360B0757" w:rsidR="00E67AC5" w:rsidRPr="00262C62" w:rsidRDefault="00E67AC5">
      <w:pPr>
        <w:rPr>
          <w:rFonts w:cstheme="minorHAnsi"/>
          <w:sz w:val="24"/>
          <w:szCs w:val="24"/>
        </w:rPr>
      </w:pPr>
      <w:r w:rsidRPr="00262C62">
        <w:rPr>
          <w:rFonts w:cstheme="minorHAnsi"/>
          <w:b/>
          <w:bCs/>
          <w:sz w:val="24"/>
          <w:szCs w:val="24"/>
        </w:rPr>
        <w:t>Originator:</w:t>
      </w:r>
      <w:r w:rsidRPr="00262C62">
        <w:rPr>
          <w:rFonts w:cstheme="minorHAnsi"/>
          <w:sz w:val="24"/>
          <w:szCs w:val="24"/>
        </w:rPr>
        <w:t xml:space="preserve">  </w:t>
      </w:r>
      <w:r w:rsidR="00483E74" w:rsidRPr="00262C62">
        <w:rPr>
          <w:rFonts w:cstheme="minorHAnsi"/>
          <w:sz w:val="24"/>
          <w:szCs w:val="24"/>
        </w:rPr>
        <w:t>Cary Curtis and Kim Seney</w:t>
      </w:r>
      <w:r w:rsidR="00483E74" w:rsidRPr="00262C62">
        <w:rPr>
          <w:rFonts w:cstheme="minorHAnsi"/>
          <w:sz w:val="24"/>
          <w:szCs w:val="24"/>
        </w:rPr>
        <w:tab/>
      </w:r>
    </w:p>
    <w:p w14:paraId="6C103A1D" w14:textId="76E2B241" w:rsidR="00483E74" w:rsidRPr="00262C62" w:rsidRDefault="00E67AC5" w:rsidP="00762D9D">
      <w:pPr>
        <w:rPr>
          <w:rFonts w:cstheme="minorHAnsi"/>
          <w:sz w:val="24"/>
          <w:szCs w:val="24"/>
        </w:rPr>
      </w:pPr>
      <w:r w:rsidRPr="00262C62">
        <w:rPr>
          <w:rFonts w:cstheme="minorHAnsi"/>
          <w:b/>
          <w:bCs/>
          <w:sz w:val="24"/>
          <w:szCs w:val="24"/>
        </w:rPr>
        <w:t>Purpose</w:t>
      </w:r>
      <w:r w:rsidRPr="00262C62">
        <w:rPr>
          <w:rFonts w:cstheme="minorHAnsi"/>
          <w:sz w:val="24"/>
          <w:szCs w:val="24"/>
        </w:rPr>
        <w:t xml:space="preserve">: </w:t>
      </w:r>
      <w:r w:rsidR="00483E74" w:rsidRPr="00262C62">
        <w:rPr>
          <w:rFonts w:cstheme="minorHAnsi"/>
          <w:sz w:val="24"/>
          <w:szCs w:val="24"/>
        </w:rPr>
        <w:t xml:space="preserve"> </w:t>
      </w:r>
      <w:r w:rsidR="00B72E18">
        <w:rPr>
          <w:rFonts w:cstheme="minorHAnsi"/>
          <w:sz w:val="24"/>
          <w:szCs w:val="24"/>
        </w:rPr>
        <w:t xml:space="preserve">Review and discuss proposed Reserve Policy, as drafted by the Finance Committee.  The policy will guide the Board’s philosophy about managing Reserves for the District.  </w:t>
      </w:r>
    </w:p>
    <w:p w14:paraId="3E6CA3B4" w14:textId="1588AB1B" w:rsidR="00DB0B0A" w:rsidRPr="00262C62" w:rsidRDefault="0097438A" w:rsidP="0097438A">
      <w:pPr>
        <w:pStyle w:val="Default"/>
        <w:rPr>
          <w:rFonts w:asciiTheme="minorHAnsi" w:hAnsiTheme="minorHAnsi" w:cstheme="minorHAnsi"/>
        </w:rPr>
      </w:pPr>
      <w:r w:rsidRPr="00262C62">
        <w:rPr>
          <w:rFonts w:asciiTheme="minorHAnsi" w:hAnsiTheme="minorHAnsi" w:cstheme="minorHAnsi"/>
          <w:b/>
          <w:bCs/>
        </w:rPr>
        <w:t xml:space="preserve">Desired Action by the Board: </w:t>
      </w:r>
      <w:r w:rsidRPr="00262C62">
        <w:rPr>
          <w:rFonts w:asciiTheme="minorHAnsi" w:hAnsiTheme="minorHAnsi" w:cstheme="minorHAnsi"/>
        </w:rPr>
        <w:t xml:space="preserve"> </w:t>
      </w:r>
      <w:r w:rsidR="00483E74" w:rsidRPr="00262C62">
        <w:rPr>
          <w:rFonts w:asciiTheme="minorHAnsi" w:hAnsiTheme="minorHAnsi" w:cstheme="minorHAnsi"/>
        </w:rPr>
        <w:t xml:space="preserve">First reading by the board of </w:t>
      </w:r>
      <w:r w:rsidR="00762D9D" w:rsidRPr="00262C62">
        <w:rPr>
          <w:rFonts w:asciiTheme="minorHAnsi" w:hAnsiTheme="minorHAnsi" w:cstheme="minorHAnsi"/>
        </w:rPr>
        <w:t>Po</w:t>
      </w:r>
      <w:r w:rsidR="00310A2D" w:rsidRPr="00262C62">
        <w:rPr>
          <w:rFonts w:asciiTheme="minorHAnsi" w:hAnsiTheme="minorHAnsi" w:cstheme="minorHAnsi"/>
        </w:rPr>
        <w:t>licy</w:t>
      </w:r>
      <w:r w:rsidR="00762D9D" w:rsidRPr="00262C62">
        <w:rPr>
          <w:rFonts w:asciiTheme="minorHAnsi" w:hAnsiTheme="minorHAnsi" w:cstheme="minorHAnsi"/>
        </w:rPr>
        <w:t xml:space="preserve"> #</w:t>
      </w:r>
      <w:r w:rsidR="00DD6CEF">
        <w:rPr>
          <w:rFonts w:asciiTheme="minorHAnsi" w:hAnsiTheme="minorHAnsi" w:cstheme="minorHAnsi"/>
        </w:rPr>
        <w:t>2150</w:t>
      </w:r>
      <w:r w:rsidR="00762D9D" w:rsidRPr="00262C62">
        <w:rPr>
          <w:rFonts w:asciiTheme="minorHAnsi" w:hAnsiTheme="minorHAnsi" w:cstheme="minorHAnsi"/>
        </w:rPr>
        <w:t xml:space="preserve"> pertaining </w:t>
      </w:r>
      <w:r w:rsidR="00A67D1F">
        <w:rPr>
          <w:rFonts w:asciiTheme="minorHAnsi" w:hAnsiTheme="minorHAnsi" w:cstheme="minorHAnsi"/>
        </w:rPr>
        <w:t>the District’s Reserve Policy</w:t>
      </w:r>
      <w:r w:rsidR="00310A2D" w:rsidRPr="00262C62">
        <w:rPr>
          <w:rFonts w:asciiTheme="minorHAnsi" w:hAnsiTheme="minorHAnsi" w:cstheme="minorHAnsi"/>
        </w:rPr>
        <w:t xml:space="preserve">. </w:t>
      </w:r>
      <w:r w:rsidR="00483E74" w:rsidRPr="00262C62">
        <w:rPr>
          <w:rFonts w:asciiTheme="minorHAnsi" w:hAnsiTheme="minorHAnsi" w:cstheme="minorHAnsi"/>
        </w:rPr>
        <w:t xml:space="preserve">The board may choose to waive the second reading and adopt recommendation as presented. </w:t>
      </w:r>
      <w:r w:rsidR="00B72E18">
        <w:rPr>
          <w:rFonts w:asciiTheme="minorHAnsi" w:hAnsiTheme="minorHAnsi" w:cstheme="minorHAnsi"/>
        </w:rPr>
        <w:t xml:space="preserve"> A 4/5</w:t>
      </w:r>
      <w:r w:rsidR="00B72E18" w:rsidRPr="00B72E18">
        <w:rPr>
          <w:rFonts w:asciiTheme="minorHAnsi" w:hAnsiTheme="minorHAnsi" w:cstheme="minorHAnsi"/>
          <w:vertAlign w:val="superscript"/>
        </w:rPr>
        <w:t>th</w:t>
      </w:r>
      <w:r w:rsidR="00B72E18">
        <w:rPr>
          <w:rFonts w:asciiTheme="minorHAnsi" w:hAnsiTheme="minorHAnsi" w:cstheme="minorHAnsi"/>
        </w:rPr>
        <w:t xml:space="preserve"> vote is required to adopt this policy relating to financial management of the </w:t>
      </w:r>
      <w:proofErr w:type="gramStart"/>
      <w:r w:rsidR="00B72E18">
        <w:rPr>
          <w:rFonts w:asciiTheme="minorHAnsi" w:hAnsiTheme="minorHAnsi" w:cstheme="minorHAnsi"/>
        </w:rPr>
        <w:t>District</w:t>
      </w:r>
      <w:proofErr w:type="gramEnd"/>
      <w:r w:rsidR="00B72E18">
        <w:rPr>
          <w:rFonts w:asciiTheme="minorHAnsi" w:hAnsiTheme="minorHAnsi" w:cstheme="minorHAnsi"/>
        </w:rPr>
        <w:t xml:space="preserve">. </w:t>
      </w:r>
    </w:p>
    <w:p w14:paraId="1F86B62B" w14:textId="65AD24E0" w:rsidR="005B6519" w:rsidRPr="00262C62" w:rsidRDefault="00E67AC5" w:rsidP="00E67AC5">
      <w:pPr>
        <w:tabs>
          <w:tab w:val="left" w:pos="1620"/>
        </w:tabs>
        <w:rPr>
          <w:rFonts w:cstheme="minorHAnsi"/>
          <w:sz w:val="24"/>
          <w:szCs w:val="24"/>
        </w:rPr>
      </w:pPr>
      <w:r w:rsidRPr="00262C62">
        <w:rPr>
          <w:rFonts w:cstheme="minorHAnsi"/>
          <w:sz w:val="24"/>
          <w:szCs w:val="24"/>
        </w:rPr>
        <w:t xml:space="preserve">  </w:t>
      </w:r>
    </w:p>
    <w:p w14:paraId="2F989263" w14:textId="07BC80FD" w:rsidR="00E67AC5" w:rsidRPr="00262C62" w:rsidRDefault="00DB0B0A" w:rsidP="00E67AC5">
      <w:pPr>
        <w:tabs>
          <w:tab w:val="left" w:pos="1620"/>
        </w:tabs>
        <w:rPr>
          <w:rFonts w:cstheme="minorHAnsi"/>
          <w:sz w:val="24"/>
          <w:szCs w:val="24"/>
        </w:rPr>
      </w:pPr>
      <w:r w:rsidRPr="00262C62">
        <w:rPr>
          <w:rFonts w:cstheme="minorHAnsi"/>
          <w:sz w:val="24"/>
          <w:szCs w:val="24"/>
        </w:rPr>
        <w:t>**************************************</w:t>
      </w:r>
    </w:p>
    <w:bookmarkEnd w:id="0"/>
    <w:p w14:paraId="3147CC78" w14:textId="77777777" w:rsidR="002E5C3F" w:rsidRPr="00262C62" w:rsidRDefault="002E5C3F" w:rsidP="002E5C3F">
      <w:pPr>
        <w:pStyle w:val="NoSpacing"/>
        <w:rPr>
          <w:rFonts w:cstheme="minorHAnsi"/>
          <w:sz w:val="24"/>
          <w:szCs w:val="24"/>
        </w:rPr>
      </w:pPr>
    </w:p>
    <w:p w14:paraId="38E947B6" w14:textId="1EA66800" w:rsidR="00BD6548" w:rsidRPr="00262C62" w:rsidRDefault="00A23587" w:rsidP="00BD6548">
      <w:pPr>
        <w:pStyle w:val="ListParagraph"/>
        <w:numPr>
          <w:ilvl w:val="0"/>
          <w:numId w:val="1"/>
        </w:numPr>
        <w:rPr>
          <w:rFonts w:cstheme="minorHAnsi"/>
          <w:sz w:val="24"/>
          <w:szCs w:val="24"/>
        </w:rPr>
      </w:pPr>
      <w:r w:rsidRPr="00262C62">
        <w:rPr>
          <w:rFonts w:cstheme="minorHAnsi"/>
          <w:b/>
          <w:bCs/>
          <w:sz w:val="24"/>
          <w:szCs w:val="24"/>
          <w:u w:val="single"/>
        </w:rPr>
        <w:t>Description</w:t>
      </w:r>
      <w:r w:rsidR="006E0ECC" w:rsidRPr="00262C62">
        <w:rPr>
          <w:rFonts w:cstheme="minorHAnsi"/>
          <w:b/>
          <w:bCs/>
          <w:sz w:val="24"/>
          <w:szCs w:val="24"/>
          <w:u w:val="single"/>
        </w:rPr>
        <w:t>:</w:t>
      </w:r>
      <w:r w:rsidR="00B72E18">
        <w:rPr>
          <w:rFonts w:cstheme="minorHAnsi"/>
          <w:sz w:val="24"/>
          <w:szCs w:val="24"/>
        </w:rPr>
        <w:t xml:space="preserve"> The District must collect and save a portion of its revenue for to meet the future needs.  Because Gold Mountain is still in “build out” phase, not only will maintaining the </w:t>
      </w:r>
      <w:proofErr w:type="gramStart"/>
      <w:r w:rsidR="00B72E18">
        <w:rPr>
          <w:rFonts w:cstheme="minorHAnsi"/>
          <w:sz w:val="24"/>
          <w:szCs w:val="24"/>
        </w:rPr>
        <w:t>District</w:t>
      </w:r>
      <w:proofErr w:type="gramEnd"/>
      <w:r w:rsidR="00B72E18">
        <w:rPr>
          <w:rFonts w:cstheme="minorHAnsi"/>
          <w:sz w:val="24"/>
          <w:szCs w:val="24"/>
        </w:rPr>
        <w:t xml:space="preserve"> require capital reserves, expansion of existing infrastructure to support build-out will be required.  A robust Reserve Plan</w:t>
      </w:r>
      <w:r w:rsidR="008D42D4">
        <w:rPr>
          <w:rFonts w:cstheme="minorHAnsi"/>
          <w:sz w:val="24"/>
          <w:szCs w:val="24"/>
        </w:rPr>
        <w:t xml:space="preserve"> with tight controls will ensure that the District will be capable to deliver. </w:t>
      </w:r>
      <w:r w:rsidR="00B72E18">
        <w:rPr>
          <w:rFonts w:cstheme="minorHAnsi"/>
          <w:sz w:val="24"/>
          <w:szCs w:val="24"/>
        </w:rPr>
        <w:t xml:space="preserve"> </w:t>
      </w:r>
    </w:p>
    <w:p w14:paraId="230F6957" w14:textId="77777777" w:rsidR="00BD6548" w:rsidRPr="00262C62" w:rsidRDefault="00BD6548" w:rsidP="00BD6548">
      <w:pPr>
        <w:pStyle w:val="ListParagraph"/>
        <w:ind w:left="360"/>
        <w:rPr>
          <w:rFonts w:cstheme="minorHAnsi"/>
          <w:sz w:val="24"/>
          <w:szCs w:val="24"/>
        </w:rPr>
      </w:pPr>
    </w:p>
    <w:p w14:paraId="4AAF3BA7" w14:textId="3B8A6618" w:rsidR="00C05AAF" w:rsidRPr="00C05AAF" w:rsidRDefault="00ED79BF" w:rsidP="00C05AAF">
      <w:pPr>
        <w:pStyle w:val="ListParagraph"/>
        <w:numPr>
          <w:ilvl w:val="0"/>
          <w:numId w:val="1"/>
        </w:numPr>
        <w:rPr>
          <w:rFonts w:cstheme="minorHAnsi"/>
          <w:sz w:val="24"/>
          <w:szCs w:val="24"/>
          <w:u w:val="single"/>
        </w:rPr>
      </w:pPr>
      <w:r w:rsidRPr="00262C62">
        <w:rPr>
          <w:rFonts w:cstheme="minorHAnsi"/>
          <w:b/>
          <w:bCs/>
          <w:sz w:val="24"/>
          <w:szCs w:val="24"/>
          <w:u w:val="single"/>
        </w:rPr>
        <w:t>R</w:t>
      </w:r>
      <w:r w:rsidR="00A70B02" w:rsidRPr="00262C62">
        <w:rPr>
          <w:rFonts w:cstheme="minorHAnsi"/>
          <w:b/>
          <w:bCs/>
          <w:sz w:val="24"/>
          <w:szCs w:val="24"/>
          <w:u w:val="single"/>
        </w:rPr>
        <w:t xml:space="preserve">eason for </w:t>
      </w:r>
      <w:r w:rsidR="00737C10" w:rsidRPr="00262C62">
        <w:rPr>
          <w:rFonts w:cstheme="minorHAnsi"/>
          <w:b/>
          <w:bCs/>
          <w:sz w:val="24"/>
          <w:szCs w:val="24"/>
          <w:u w:val="single"/>
        </w:rPr>
        <w:t>R</w:t>
      </w:r>
      <w:r w:rsidR="00A70B02" w:rsidRPr="00262C62">
        <w:rPr>
          <w:rFonts w:cstheme="minorHAnsi"/>
          <w:b/>
          <w:bCs/>
          <w:sz w:val="24"/>
          <w:szCs w:val="24"/>
          <w:u w:val="single"/>
        </w:rPr>
        <w:t>ecommended</w:t>
      </w:r>
      <w:r w:rsidR="00F12098" w:rsidRPr="00262C62">
        <w:rPr>
          <w:rFonts w:cstheme="minorHAnsi"/>
          <w:b/>
          <w:bCs/>
          <w:sz w:val="24"/>
          <w:szCs w:val="24"/>
          <w:u w:val="single"/>
        </w:rPr>
        <w:t xml:space="preserve"> Board Action</w:t>
      </w:r>
      <w:r w:rsidR="003C64C4" w:rsidRPr="00262C62">
        <w:rPr>
          <w:rFonts w:cstheme="minorHAnsi"/>
          <w:b/>
          <w:bCs/>
          <w:sz w:val="24"/>
          <w:szCs w:val="24"/>
          <w:u w:val="single"/>
        </w:rPr>
        <w:t xml:space="preserve"> - </w:t>
      </w:r>
      <w:r w:rsidRPr="00262C62">
        <w:rPr>
          <w:rFonts w:cstheme="minorHAnsi"/>
          <w:sz w:val="24"/>
          <w:szCs w:val="24"/>
          <w:u w:val="single"/>
        </w:rPr>
        <w:t>(</w:t>
      </w:r>
      <w:r w:rsidR="00236862" w:rsidRPr="00262C62">
        <w:rPr>
          <w:rFonts w:cstheme="minorHAnsi"/>
          <w:i/>
          <w:iCs/>
          <w:sz w:val="24"/>
          <w:szCs w:val="24"/>
          <w:u w:val="single"/>
        </w:rPr>
        <w:t>C</w:t>
      </w:r>
      <w:r w:rsidR="0094140E" w:rsidRPr="00262C62">
        <w:rPr>
          <w:rFonts w:cstheme="minorHAnsi"/>
          <w:i/>
          <w:iCs/>
          <w:sz w:val="24"/>
          <w:szCs w:val="24"/>
          <w:u w:val="single"/>
        </w:rPr>
        <w:t xml:space="preserve">onsider </w:t>
      </w:r>
      <w:r w:rsidR="00A70B02" w:rsidRPr="00262C62">
        <w:rPr>
          <w:rFonts w:cstheme="minorHAnsi"/>
          <w:i/>
          <w:iCs/>
          <w:sz w:val="24"/>
          <w:szCs w:val="24"/>
          <w:u w:val="single"/>
        </w:rPr>
        <w:t>compliance, cost saving</w:t>
      </w:r>
      <w:r w:rsidR="0094140E" w:rsidRPr="00262C62">
        <w:rPr>
          <w:rFonts w:cstheme="minorHAnsi"/>
          <w:i/>
          <w:iCs/>
          <w:sz w:val="24"/>
          <w:szCs w:val="24"/>
          <w:u w:val="single"/>
        </w:rPr>
        <w:t>s</w:t>
      </w:r>
      <w:r w:rsidR="00A70B02" w:rsidRPr="00262C62">
        <w:rPr>
          <w:rFonts w:cstheme="minorHAnsi"/>
          <w:i/>
          <w:iCs/>
          <w:sz w:val="24"/>
          <w:szCs w:val="24"/>
          <w:u w:val="single"/>
        </w:rPr>
        <w:t>, fixing a problem</w:t>
      </w:r>
      <w:r w:rsidR="00A70B02" w:rsidRPr="00262C62">
        <w:rPr>
          <w:rFonts w:cstheme="minorHAnsi"/>
          <w:sz w:val="24"/>
          <w:szCs w:val="24"/>
          <w:u w:val="single"/>
        </w:rPr>
        <w:t>)</w:t>
      </w:r>
      <w:r w:rsidR="00236862" w:rsidRPr="00262C62">
        <w:rPr>
          <w:rFonts w:cstheme="minorHAnsi"/>
          <w:sz w:val="24"/>
          <w:szCs w:val="24"/>
          <w:u w:val="single"/>
        </w:rPr>
        <w:t>:</w:t>
      </w:r>
      <w:r w:rsidR="009A3CC2" w:rsidRPr="00262C62">
        <w:rPr>
          <w:rFonts w:cstheme="minorHAnsi"/>
          <w:sz w:val="24"/>
          <w:szCs w:val="24"/>
        </w:rPr>
        <w:t xml:space="preserve"> </w:t>
      </w:r>
      <w:r w:rsidR="005159A2" w:rsidRPr="00262C62">
        <w:rPr>
          <w:rFonts w:cstheme="minorHAnsi"/>
          <w:sz w:val="24"/>
          <w:szCs w:val="24"/>
        </w:rPr>
        <w:t xml:space="preserve"> </w:t>
      </w:r>
      <w:r w:rsidR="00797D17" w:rsidRPr="00262C62">
        <w:rPr>
          <w:rFonts w:cstheme="minorHAnsi"/>
          <w:sz w:val="24"/>
          <w:szCs w:val="24"/>
        </w:rPr>
        <w:t xml:space="preserve"> </w:t>
      </w:r>
      <w:r w:rsidR="00BD6548" w:rsidRPr="00262C62">
        <w:rPr>
          <w:rFonts w:cstheme="minorHAnsi"/>
          <w:sz w:val="24"/>
          <w:szCs w:val="24"/>
        </w:rPr>
        <w:t xml:space="preserve">It is a best practice to </w:t>
      </w:r>
      <w:r w:rsidR="00C05AAF">
        <w:rPr>
          <w:rFonts w:cstheme="minorHAnsi"/>
          <w:sz w:val="24"/>
          <w:szCs w:val="24"/>
        </w:rPr>
        <w:t xml:space="preserve">document </w:t>
      </w:r>
      <w:r w:rsidR="00B72E18">
        <w:rPr>
          <w:rFonts w:cstheme="minorHAnsi"/>
          <w:sz w:val="24"/>
          <w:szCs w:val="24"/>
        </w:rPr>
        <w:t xml:space="preserve">an organization’s philosophy and strategy related to Board management of Reserves.  If adopted, this Policy will become the foundation for the </w:t>
      </w:r>
      <w:proofErr w:type="gramStart"/>
      <w:r w:rsidR="00B72E18">
        <w:rPr>
          <w:rFonts w:cstheme="minorHAnsi"/>
          <w:sz w:val="24"/>
          <w:szCs w:val="24"/>
        </w:rPr>
        <w:t>District’s</w:t>
      </w:r>
      <w:proofErr w:type="gramEnd"/>
      <w:r w:rsidR="00B72E18">
        <w:rPr>
          <w:rFonts w:cstheme="minorHAnsi"/>
          <w:sz w:val="24"/>
          <w:szCs w:val="24"/>
        </w:rPr>
        <w:t xml:space="preserve"> management of reserves.  The proposed policy reflects the current Board’s approach but it is expected the Policy will evolve with the </w:t>
      </w:r>
      <w:proofErr w:type="gramStart"/>
      <w:r w:rsidR="00B72E18">
        <w:rPr>
          <w:rFonts w:cstheme="minorHAnsi"/>
          <w:sz w:val="24"/>
          <w:szCs w:val="24"/>
        </w:rPr>
        <w:t>District</w:t>
      </w:r>
      <w:proofErr w:type="gramEnd"/>
      <w:r w:rsidR="00B72E18">
        <w:rPr>
          <w:rFonts w:cstheme="minorHAnsi"/>
          <w:sz w:val="24"/>
          <w:szCs w:val="24"/>
        </w:rPr>
        <w:t>.</w:t>
      </w:r>
      <w:r w:rsidR="00C05AAF">
        <w:rPr>
          <w:rFonts w:cstheme="minorHAnsi"/>
          <w:sz w:val="24"/>
          <w:szCs w:val="24"/>
          <w:u w:val="single"/>
        </w:rPr>
        <w:br/>
      </w:r>
    </w:p>
    <w:p w14:paraId="55CE33A4" w14:textId="4114B207" w:rsidR="00A02A69" w:rsidRPr="00262C62" w:rsidRDefault="00C127C4" w:rsidP="00696A27">
      <w:pPr>
        <w:pStyle w:val="ListParagraph"/>
        <w:numPr>
          <w:ilvl w:val="0"/>
          <w:numId w:val="1"/>
        </w:numPr>
        <w:rPr>
          <w:rFonts w:cstheme="minorHAnsi"/>
          <w:sz w:val="24"/>
          <w:szCs w:val="24"/>
          <w:u w:val="single"/>
        </w:rPr>
      </w:pPr>
      <w:r w:rsidRPr="00262C62">
        <w:rPr>
          <w:rFonts w:cstheme="minorHAnsi"/>
          <w:b/>
          <w:bCs/>
          <w:sz w:val="24"/>
          <w:szCs w:val="24"/>
          <w:u w:val="single"/>
        </w:rPr>
        <w:t xml:space="preserve">Anticipated </w:t>
      </w:r>
      <w:r w:rsidR="00CA1BA8" w:rsidRPr="00262C62">
        <w:rPr>
          <w:rFonts w:cstheme="minorHAnsi"/>
          <w:b/>
          <w:bCs/>
          <w:sz w:val="24"/>
          <w:szCs w:val="24"/>
          <w:u w:val="single"/>
        </w:rPr>
        <w:t>I</w:t>
      </w:r>
      <w:r w:rsidRPr="00262C62">
        <w:rPr>
          <w:rFonts w:cstheme="minorHAnsi"/>
          <w:b/>
          <w:bCs/>
          <w:sz w:val="24"/>
          <w:szCs w:val="24"/>
          <w:u w:val="single"/>
        </w:rPr>
        <w:t>mpacts</w:t>
      </w:r>
      <w:r w:rsidR="0094140E" w:rsidRPr="00262C62">
        <w:rPr>
          <w:rFonts w:cstheme="minorHAnsi"/>
          <w:b/>
          <w:bCs/>
          <w:sz w:val="24"/>
          <w:szCs w:val="24"/>
          <w:u w:val="single"/>
        </w:rPr>
        <w:t xml:space="preserve"> to the District</w:t>
      </w:r>
      <w:r w:rsidR="00797D17" w:rsidRPr="00262C62">
        <w:rPr>
          <w:rFonts w:cstheme="minorHAnsi"/>
          <w:b/>
          <w:bCs/>
          <w:sz w:val="24"/>
          <w:szCs w:val="24"/>
          <w:u w:val="single"/>
        </w:rPr>
        <w:t xml:space="preserve"> (negative and</w:t>
      </w:r>
      <w:r w:rsidR="00920FA5" w:rsidRPr="00262C62">
        <w:rPr>
          <w:rFonts w:cstheme="minorHAnsi"/>
          <w:b/>
          <w:bCs/>
          <w:sz w:val="24"/>
          <w:szCs w:val="24"/>
          <w:u w:val="single"/>
        </w:rPr>
        <w:t>/or positive)</w:t>
      </w:r>
      <w:r w:rsidR="003C64C4" w:rsidRPr="00262C62">
        <w:rPr>
          <w:rFonts w:cstheme="minorHAnsi"/>
          <w:b/>
          <w:bCs/>
          <w:sz w:val="24"/>
          <w:szCs w:val="24"/>
          <w:u w:val="single"/>
        </w:rPr>
        <w:t xml:space="preserve"> - </w:t>
      </w:r>
      <w:r w:rsidR="0094140E" w:rsidRPr="00262C62">
        <w:rPr>
          <w:rFonts w:cstheme="minorHAnsi"/>
          <w:sz w:val="24"/>
          <w:szCs w:val="24"/>
          <w:u w:val="single"/>
        </w:rPr>
        <w:t>(</w:t>
      </w:r>
      <w:r w:rsidR="00737C10" w:rsidRPr="00262C62">
        <w:rPr>
          <w:rFonts w:cstheme="minorHAnsi"/>
          <w:i/>
          <w:iCs/>
          <w:sz w:val="24"/>
          <w:szCs w:val="24"/>
          <w:u w:val="single"/>
        </w:rPr>
        <w:t>Consider financial impact, change in procedures, customer</w:t>
      </w:r>
      <w:r w:rsidR="00A23587" w:rsidRPr="00262C62">
        <w:rPr>
          <w:rFonts w:cstheme="minorHAnsi"/>
          <w:i/>
          <w:iCs/>
          <w:sz w:val="24"/>
          <w:szCs w:val="24"/>
          <w:u w:val="single"/>
        </w:rPr>
        <w:t xml:space="preserve"> and staff</w:t>
      </w:r>
      <w:r w:rsidR="00737C10" w:rsidRPr="00262C62">
        <w:rPr>
          <w:rFonts w:cstheme="minorHAnsi"/>
          <w:i/>
          <w:iCs/>
          <w:sz w:val="24"/>
          <w:szCs w:val="24"/>
          <w:u w:val="single"/>
        </w:rPr>
        <w:t xml:space="preserve"> communication and effect </w:t>
      </w:r>
      <w:r w:rsidR="0094140E" w:rsidRPr="00262C62">
        <w:rPr>
          <w:rFonts w:cstheme="minorHAnsi"/>
          <w:i/>
          <w:iCs/>
          <w:sz w:val="24"/>
          <w:szCs w:val="24"/>
          <w:u w:val="single"/>
        </w:rPr>
        <w:t>if recommend</w:t>
      </w:r>
      <w:r w:rsidR="00920FA5" w:rsidRPr="00262C62">
        <w:rPr>
          <w:rFonts w:cstheme="minorHAnsi"/>
          <w:i/>
          <w:iCs/>
          <w:sz w:val="24"/>
          <w:szCs w:val="24"/>
          <w:u w:val="single"/>
        </w:rPr>
        <w:t>ations</w:t>
      </w:r>
      <w:r w:rsidR="0094140E" w:rsidRPr="00262C62">
        <w:rPr>
          <w:rFonts w:cstheme="minorHAnsi"/>
          <w:i/>
          <w:iCs/>
          <w:sz w:val="24"/>
          <w:szCs w:val="24"/>
          <w:u w:val="single"/>
        </w:rPr>
        <w:t xml:space="preserve"> are not adopted</w:t>
      </w:r>
      <w:r w:rsidR="0094140E" w:rsidRPr="00262C62">
        <w:rPr>
          <w:rFonts w:cstheme="minorHAnsi"/>
          <w:sz w:val="24"/>
          <w:szCs w:val="24"/>
          <w:u w:val="single"/>
        </w:rPr>
        <w:t>)</w:t>
      </w:r>
      <w:r w:rsidR="00CA1BA8" w:rsidRPr="00262C62">
        <w:rPr>
          <w:rFonts w:cstheme="minorHAnsi"/>
          <w:sz w:val="24"/>
          <w:szCs w:val="24"/>
          <w:u w:val="single"/>
        </w:rPr>
        <w:t>:</w:t>
      </w:r>
      <w:r w:rsidR="0094140E" w:rsidRPr="00262C62">
        <w:rPr>
          <w:rFonts w:cstheme="minorHAnsi"/>
          <w:sz w:val="24"/>
          <w:szCs w:val="24"/>
        </w:rPr>
        <w:t xml:space="preserve">  </w:t>
      </w:r>
      <w:r w:rsidR="001220A4" w:rsidRPr="00262C62">
        <w:rPr>
          <w:rFonts w:cstheme="minorHAnsi"/>
          <w:sz w:val="24"/>
          <w:szCs w:val="24"/>
        </w:rPr>
        <w:t xml:space="preserve"> </w:t>
      </w:r>
      <w:r w:rsidR="00BD6548" w:rsidRPr="00262C62">
        <w:rPr>
          <w:rFonts w:cstheme="minorHAnsi"/>
          <w:sz w:val="24"/>
          <w:szCs w:val="24"/>
        </w:rPr>
        <w:t>No significant impact</w:t>
      </w:r>
      <w:r w:rsidR="00262C62" w:rsidRPr="00262C62">
        <w:rPr>
          <w:rFonts w:cstheme="minorHAnsi"/>
          <w:sz w:val="24"/>
          <w:szCs w:val="24"/>
        </w:rPr>
        <w:t>.</w:t>
      </w:r>
    </w:p>
    <w:p w14:paraId="1049543A" w14:textId="77777777" w:rsidR="00D03F43" w:rsidRPr="00262C62" w:rsidRDefault="00D03F43" w:rsidP="00846E39">
      <w:pPr>
        <w:pStyle w:val="ListParagraph"/>
        <w:ind w:left="360"/>
        <w:rPr>
          <w:rFonts w:cstheme="minorHAnsi"/>
          <w:sz w:val="24"/>
          <w:szCs w:val="24"/>
        </w:rPr>
      </w:pPr>
    </w:p>
    <w:p w14:paraId="36A1FE32" w14:textId="64428AAF" w:rsidR="008223D4" w:rsidRPr="00A67D1F" w:rsidRDefault="00737C10" w:rsidP="00475D63">
      <w:pPr>
        <w:pStyle w:val="ListParagraph"/>
        <w:numPr>
          <w:ilvl w:val="0"/>
          <w:numId w:val="1"/>
        </w:numPr>
        <w:rPr>
          <w:rFonts w:cstheme="minorHAnsi"/>
          <w:sz w:val="24"/>
          <w:szCs w:val="24"/>
        </w:rPr>
      </w:pPr>
      <w:r w:rsidRPr="00A67D1F">
        <w:rPr>
          <w:rFonts w:cstheme="minorHAnsi"/>
          <w:b/>
          <w:bCs/>
          <w:sz w:val="24"/>
          <w:szCs w:val="24"/>
          <w:u w:val="single"/>
        </w:rPr>
        <w:t xml:space="preserve">Anticipated Impacts to the Customer – </w:t>
      </w:r>
      <w:r w:rsidRPr="00A67D1F">
        <w:rPr>
          <w:rFonts w:cstheme="minorHAnsi"/>
          <w:i/>
          <w:iCs/>
          <w:sz w:val="24"/>
          <w:szCs w:val="24"/>
          <w:u w:val="single"/>
        </w:rPr>
        <w:t>Standby, Residential, Commercial</w:t>
      </w:r>
      <w:r w:rsidR="00ED79BF" w:rsidRPr="00A67D1F">
        <w:rPr>
          <w:rFonts w:cstheme="minorHAnsi"/>
          <w:b/>
          <w:bCs/>
          <w:sz w:val="24"/>
          <w:szCs w:val="24"/>
        </w:rPr>
        <w:t>:</w:t>
      </w:r>
      <w:r w:rsidR="009A3CC2" w:rsidRPr="00A67D1F">
        <w:rPr>
          <w:rFonts w:cstheme="minorHAnsi"/>
          <w:sz w:val="24"/>
          <w:szCs w:val="24"/>
        </w:rPr>
        <w:t xml:space="preserve">  </w:t>
      </w:r>
      <w:r w:rsidR="00E33654" w:rsidRPr="00A67D1F">
        <w:rPr>
          <w:rFonts w:cstheme="minorHAnsi"/>
          <w:sz w:val="24"/>
          <w:szCs w:val="24"/>
        </w:rPr>
        <w:t xml:space="preserve"> </w:t>
      </w:r>
      <w:r w:rsidR="00B72E18" w:rsidRPr="00262C62">
        <w:rPr>
          <w:rFonts w:cstheme="minorHAnsi"/>
          <w:sz w:val="24"/>
          <w:szCs w:val="24"/>
        </w:rPr>
        <w:t>No significant impact.</w:t>
      </w:r>
      <w:r w:rsidR="00A67D1F">
        <w:rPr>
          <w:rFonts w:cstheme="minorHAnsi"/>
          <w:sz w:val="24"/>
          <w:szCs w:val="24"/>
        </w:rPr>
        <w:br/>
      </w:r>
    </w:p>
    <w:p w14:paraId="360DE413" w14:textId="42D1256C" w:rsidR="00C96C10" w:rsidRPr="00262C62" w:rsidRDefault="007E0028" w:rsidP="00C96C10">
      <w:pPr>
        <w:pStyle w:val="ListParagraph"/>
        <w:numPr>
          <w:ilvl w:val="0"/>
          <w:numId w:val="1"/>
        </w:numPr>
        <w:rPr>
          <w:rFonts w:cstheme="minorHAnsi"/>
          <w:sz w:val="24"/>
          <w:szCs w:val="24"/>
        </w:rPr>
      </w:pPr>
      <w:r w:rsidRPr="00262C62">
        <w:rPr>
          <w:rFonts w:cstheme="minorHAnsi"/>
          <w:b/>
          <w:bCs/>
          <w:sz w:val="24"/>
          <w:szCs w:val="24"/>
          <w:u w:val="single"/>
        </w:rPr>
        <w:t>Recommendation</w:t>
      </w:r>
      <w:r w:rsidR="00846E39" w:rsidRPr="00262C62">
        <w:rPr>
          <w:rFonts w:cstheme="minorHAnsi"/>
          <w:b/>
          <w:bCs/>
          <w:sz w:val="24"/>
          <w:szCs w:val="24"/>
          <w:u w:val="single"/>
        </w:rPr>
        <w:t xml:space="preserve"> (s)</w:t>
      </w:r>
      <w:r w:rsidRPr="00262C62">
        <w:rPr>
          <w:rFonts w:cstheme="minorHAnsi"/>
          <w:b/>
          <w:bCs/>
          <w:sz w:val="24"/>
          <w:szCs w:val="24"/>
          <w:u w:val="single"/>
        </w:rPr>
        <w:t>:</w:t>
      </w:r>
      <w:r w:rsidR="00C96C10" w:rsidRPr="00262C62">
        <w:rPr>
          <w:rFonts w:cstheme="minorHAnsi"/>
          <w:sz w:val="24"/>
          <w:szCs w:val="24"/>
        </w:rPr>
        <w:t xml:space="preserve">    </w:t>
      </w:r>
      <w:r w:rsidR="00894EE0" w:rsidRPr="00262C62">
        <w:rPr>
          <w:rFonts w:cstheme="minorHAnsi"/>
          <w:sz w:val="24"/>
          <w:szCs w:val="24"/>
        </w:rPr>
        <w:t xml:space="preserve">Review, Discuss, </w:t>
      </w:r>
      <w:proofErr w:type="gramStart"/>
      <w:r w:rsidR="00894EE0" w:rsidRPr="00262C62">
        <w:rPr>
          <w:rFonts w:cstheme="minorHAnsi"/>
          <w:sz w:val="24"/>
          <w:szCs w:val="24"/>
        </w:rPr>
        <w:t>Waive</w:t>
      </w:r>
      <w:proofErr w:type="gramEnd"/>
      <w:r w:rsidR="00894EE0" w:rsidRPr="00262C62">
        <w:rPr>
          <w:rFonts w:cstheme="minorHAnsi"/>
          <w:sz w:val="24"/>
          <w:szCs w:val="24"/>
        </w:rPr>
        <w:t xml:space="preserve"> 2</w:t>
      </w:r>
      <w:r w:rsidR="00894EE0" w:rsidRPr="00262C62">
        <w:rPr>
          <w:rFonts w:cstheme="minorHAnsi"/>
          <w:sz w:val="24"/>
          <w:szCs w:val="24"/>
          <w:vertAlign w:val="superscript"/>
        </w:rPr>
        <w:t>nd</w:t>
      </w:r>
      <w:r w:rsidR="00894EE0" w:rsidRPr="00262C62">
        <w:rPr>
          <w:rFonts w:cstheme="minorHAnsi"/>
          <w:sz w:val="24"/>
          <w:szCs w:val="24"/>
        </w:rPr>
        <w:t xml:space="preserve"> reading and a</w:t>
      </w:r>
      <w:r w:rsidR="00C96C10" w:rsidRPr="00262C62">
        <w:rPr>
          <w:rFonts w:cstheme="minorHAnsi"/>
          <w:sz w:val="24"/>
          <w:szCs w:val="24"/>
        </w:rPr>
        <w:t>dopt the new GM CSD Policy #</w:t>
      </w:r>
      <w:r w:rsidR="00A67D1F">
        <w:rPr>
          <w:rFonts w:cstheme="minorHAnsi"/>
          <w:sz w:val="24"/>
          <w:szCs w:val="24"/>
        </w:rPr>
        <w:t>3083</w:t>
      </w:r>
      <w:r w:rsidR="0097438A" w:rsidRPr="00262C62">
        <w:rPr>
          <w:rFonts w:cstheme="minorHAnsi"/>
          <w:sz w:val="24"/>
          <w:szCs w:val="24"/>
        </w:rPr>
        <w:t xml:space="preserve"> </w:t>
      </w:r>
      <w:r w:rsidR="00A67D1F">
        <w:rPr>
          <w:rFonts w:cstheme="minorHAnsi"/>
          <w:sz w:val="24"/>
          <w:szCs w:val="24"/>
        </w:rPr>
        <w:t>Reserve Policy</w:t>
      </w:r>
      <w:r w:rsidR="00B72E18">
        <w:rPr>
          <w:rFonts w:cstheme="minorHAnsi"/>
          <w:sz w:val="24"/>
          <w:szCs w:val="24"/>
        </w:rPr>
        <w:t xml:space="preserve"> with a 4/5</w:t>
      </w:r>
      <w:r w:rsidR="00B72E18" w:rsidRPr="00B72E18">
        <w:rPr>
          <w:rFonts w:cstheme="minorHAnsi"/>
          <w:sz w:val="24"/>
          <w:szCs w:val="24"/>
          <w:vertAlign w:val="superscript"/>
        </w:rPr>
        <w:t>th</w:t>
      </w:r>
      <w:r w:rsidR="00B72E18">
        <w:rPr>
          <w:rFonts w:cstheme="minorHAnsi"/>
          <w:sz w:val="24"/>
          <w:szCs w:val="24"/>
        </w:rPr>
        <w:t xml:space="preserve"> vote. </w:t>
      </w:r>
    </w:p>
    <w:p w14:paraId="0B6DC346" w14:textId="78ECD2EF" w:rsidR="00262C62" w:rsidRPr="00262C62" w:rsidRDefault="00262C62" w:rsidP="00262C62">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262C62">
        <w:rPr>
          <w:rFonts w:ascii="Arial Black" w:eastAsia="Times New Roman" w:hAnsi="Arial Black" w:cs="Times New Roman"/>
          <w:spacing w:val="-30"/>
          <w:kern w:val="28"/>
          <w:sz w:val="40"/>
          <w:szCs w:val="20"/>
        </w:rPr>
        <w:lastRenderedPageBreak/>
        <w:t>Gold Mountain Community Services District</w:t>
      </w:r>
    </w:p>
    <w:p w14:paraId="0CE918B1" w14:textId="77777777" w:rsidR="00262C62" w:rsidRPr="00262C62" w:rsidRDefault="00262C62" w:rsidP="00262C62">
      <w:pPr>
        <w:keepNext/>
        <w:keepLines/>
        <w:pBdr>
          <w:top w:val="single" w:sz="48" w:space="3" w:color="FFFFFF"/>
          <w:left w:val="single" w:sz="6" w:space="3" w:color="FFFFFF"/>
          <w:bottom w:val="single" w:sz="6" w:space="3" w:color="FFFFFF"/>
        </w:pBdr>
        <w:shd w:val="solid" w:color="auto" w:fill="auto"/>
        <w:spacing w:after="240" w:line="240" w:lineRule="atLeast"/>
        <w:outlineLvl w:val="0"/>
        <w:rPr>
          <w:rFonts w:ascii="Arial Black" w:eastAsia="Times New Roman" w:hAnsi="Arial Black" w:cs="Times New Roman"/>
          <w:color w:val="FFFFFF"/>
          <w:spacing w:val="-10"/>
          <w:kern w:val="20"/>
          <w:sz w:val="24"/>
          <w:szCs w:val="20"/>
        </w:rPr>
      </w:pPr>
      <w:r w:rsidRPr="00262C62">
        <w:rPr>
          <w:rFonts w:ascii="Arial Black" w:eastAsia="Times New Roman" w:hAnsi="Arial Black" w:cs="Times New Roman"/>
          <w:color w:val="FFFFFF"/>
          <w:spacing w:val="-10"/>
          <w:kern w:val="20"/>
          <w:sz w:val="24"/>
          <w:szCs w:val="20"/>
        </w:rPr>
        <w:t>POLICY HANDBOOK</w:t>
      </w:r>
    </w:p>
    <w:bookmarkEnd w:id="1"/>
    <w:p w14:paraId="0D4ABA31" w14:textId="77777777" w:rsidR="00262C62" w:rsidRDefault="00262C62" w:rsidP="00324A8B">
      <w:pPr>
        <w:pStyle w:val="CSDAPolicy1"/>
        <w:ind w:left="1800" w:hanging="1800"/>
        <w:rPr>
          <w:rFonts w:asciiTheme="minorHAnsi" w:hAnsiTheme="minorHAnsi" w:cstheme="minorHAnsi"/>
          <w:b/>
          <w:bCs/>
          <w:spacing w:val="-4"/>
          <w:szCs w:val="24"/>
        </w:rPr>
      </w:pPr>
    </w:p>
    <w:p w14:paraId="264F9627" w14:textId="2C1AA915" w:rsidR="00324A8B" w:rsidRPr="00262C62" w:rsidRDefault="00A902E8" w:rsidP="00324A8B">
      <w:pPr>
        <w:pStyle w:val="CSDAPolicy1"/>
        <w:ind w:left="1800" w:hanging="1800"/>
        <w:rPr>
          <w:rFonts w:asciiTheme="minorHAnsi" w:hAnsiTheme="minorHAnsi" w:cstheme="minorHAnsi"/>
          <w:b/>
          <w:bCs/>
          <w:spacing w:val="-4"/>
          <w:sz w:val="28"/>
          <w:szCs w:val="28"/>
        </w:rPr>
      </w:pPr>
      <w:r w:rsidRPr="00262C62">
        <w:rPr>
          <w:rFonts w:asciiTheme="minorHAnsi" w:hAnsiTheme="minorHAnsi" w:cstheme="minorHAnsi"/>
          <w:b/>
          <w:bCs/>
          <w:spacing w:val="-4"/>
          <w:sz w:val="28"/>
          <w:szCs w:val="28"/>
        </w:rPr>
        <w:t>D-R-A-F-T</w:t>
      </w:r>
    </w:p>
    <w:p w14:paraId="6A070DF1" w14:textId="77777777" w:rsidR="00DD6CEF" w:rsidRDefault="00DD6CEF" w:rsidP="00B72E18">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p>
    <w:p w14:paraId="2BAEC4EC" w14:textId="77777777" w:rsidR="00DD6CEF"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hanging="2"/>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POLICY TITLE:</w:t>
      </w:r>
      <w:r>
        <w:rPr>
          <w:rFonts w:ascii="Arial Narrow" w:eastAsia="Arial Narrow" w:hAnsi="Arial Narrow" w:cs="Arial Narrow"/>
          <w:b/>
          <w:color w:val="000000"/>
          <w:sz w:val="24"/>
          <w:szCs w:val="24"/>
        </w:rPr>
        <w:tab/>
        <w:t>Reserve of District Funds</w:t>
      </w:r>
    </w:p>
    <w:p w14:paraId="6AC55A90" w14:textId="77777777" w:rsidR="00DD6CEF"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hanging="2"/>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POLICY NUMBER:</w:t>
      </w:r>
      <w:r>
        <w:rPr>
          <w:rFonts w:ascii="Arial Narrow" w:eastAsia="Arial Narrow" w:hAnsi="Arial Narrow" w:cs="Arial Narrow"/>
          <w:b/>
          <w:color w:val="000000"/>
          <w:sz w:val="24"/>
          <w:szCs w:val="24"/>
        </w:rPr>
        <w:tab/>
        <w:t>2150</w:t>
      </w:r>
    </w:p>
    <w:p w14:paraId="4993EF50" w14:textId="77777777" w:rsidR="00DD6CEF" w:rsidRPr="00284419"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 xml:space="preserve">Purpose: The Gold Mountain Community Services District (the </w:t>
      </w:r>
      <w:proofErr w:type="gramStart"/>
      <w:r w:rsidRPr="00284419">
        <w:rPr>
          <w:rFonts w:ascii="Arial Narrow" w:eastAsia="Arial Narrow" w:hAnsi="Arial Narrow" w:cs="Arial Narrow"/>
          <w:color w:val="000000"/>
          <w:sz w:val="24"/>
          <w:szCs w:val="24"/>
        </w:rPr>
        <w:t>District</w:t>
      </w:r>
      <w:proofErr w:type="gramEnd"/>
      <w:r w:rsidRPr="00284419">
        <w:rPr>
          <w:rFonts w:ascii="Arial Narrow" w:eastAsia="Arial Narrow" w:hAnsi="Arial Narrow" w:cs="Arial Narrow"/>
          <w:color w:val="000000"/>
          <w:sz w:val="24"/>
          <w:szCs w:val="24"/>
        </w:rPr>
        <w:t xml:space="preserve">) shall maintain restricted and unrestricted reserve funds as designated by the District’s Reserve Policy. This policy establishes the procedure and level of reserve funding to provide the infrastructure, maintenance and credit worthiness </w:t>
      </w:r>
      <w:r>
        <w:rPr>
          <w:rFonts w:ascii="Arial Narrow" w:eastAsia="Arial Narrow" w:hAnsi="Arial Narrow" w:cs="Arial Narrow"/>
          <w:color w:val="000000"/>
          <w:sz w:val="24"/>
          <w:szCs w:val="24"/>
        </w:rPr>
        <w:t xml:space="preserve">in support of </w:t>
      </w:r>
      <w:r w:rsidRPr="00284419">
        <w:rPr>
          <w:rFonts w:ascii="Arial Narrow" w:eastAsia="Arial Narrow" w:hAnsi="Arial Narrow" w:cs="Arial Narrow"/>
          <w:color w:val="000000"/>
          <w:sz w:val="24"/>
          <w:szCs w:val="24"/>
        </w:rPr>
        <w:t>the District</w:t>
      </w:r>
      <w:r>
        <w:rPr>
          <w:rFonts w:ascii="Arial Narrow" w:eastAsia="Arial Narrow" w:hAnsi="Arial Narrow" w:cs="Arial Narrow"/>
          <w:color w:val="000000"/>
          <w:sz w:val="24"/>
          <w:szCs w:val="24"/>
        </w:rPr>
        <w:t>’s Master Plan.</w:t>
      </w:r>
    </w:p>
    <w:p w14:paraId="4B50B7D6" w14:textId="77777777" w:rsidR="00DD6CEF" w:rsidRPr="00EE05ED"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p>
    <w:p w14:paraId="161A942B" w14:textId="77777777" w:rsidR="00B72E18"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 xml:space="preserve">Policy:  </w:t>
      </w:r>
      <w:r w:rsidRPr="004D7395">
        <w:rPr>
          <w:rFonts w:ascii="Arial Narrow" w:eastAsia="Arial Narrow" w:hAnsi="Arial Narrow" w:cs="Arial Narrow"/>
          <w:color w:val="000000"/>
          <w:sz w:val="24"/>
          <w:szCs w:val="24"/>
        </w:rPr>
        <w:t>Use of District Reserves is limited to available Reserve Funds (not obligated by law, contract or agreement to other uses).  Reserve designations are the responsibility of the District Board of Directors</w:t>
      </w:r>
      <w:r>
        <w:rPr>
          <w:rFonts w:ascii="Arial Narrow" w:eastAsia="Arial Narrow" w:hAnsi="Arial Narrow" w:cs="Arial Narrow"/>
          <w:color w:val="000000"/>
          <w:sz w:val="24"/>
          <w:szCs w:val="24"/>
        </w:rPr>
        <w:t xml:space="preserve"> and guided by the District’s Master Plan</w:t>
      </w:r>
      <w:r w:rsidRPr="004D7395">
        <w:rPr>
          <w:rFonts w:ascii="Arial Narrow" w:eastAsia="Arial Narrow" w:hAnsi="Arial Narrow" w:cs="Arial Narrow"/>
          <w:color w:val="000000"/>
          <w:sz w:val="24"/>
          <w:szCs w:val="24"/>
        </w:rPr>
        <w:t xml:space="preserve">.  </w:t>
      </w:r>
      <w:r>
        <w:rPr>
          <w:rFonts w:ascii="Arial Narrow" w:eastAsia="Arial Narrow" w:hAnsi="Arial Narrow" w:cs="Arial Narrow"/>
          <w:color w:val="000000"/>
          <w:sz w:val="24"/>
          <w:szCs w:val="24"/>
        </w:rPr>
        <w:t xml:space="preserve">The </w:t>
      </w:r>
      <w:proofErr w:type="gramStart"/>
      <w:r>
        <w:rPr>
          <w:rFonts w:ascii="Arial Narrow" w:eastAsia="Arial Narrow" w:hAnsi="Arial Narrow" w:cs="Arial Narrow"/>
          <w:color w:val="000000"/>
          <w:sz w:val="24"/>
          <w:szCs w:val="24"/>
        </w:rPr>
        <w:t>District</w:t>
      </w:r>
      <w:proofErr w:type="gramEnd"/>
      <w:r>
        <w:rPr>
          <w:rFonts w:ascii="Arial Narrow" w:eastAsia="Arial Narrow" w:hAnsi="Arial Narrow" w:cs="Arial Narrow"/>
          <w:color w:val="000000"/>
          <w:sz w:val="24"/>
          <w:szCs w:val="24"/>
        </w:rPr>
        <w:t xml:space="preserve"> shall account for reserves as required by Governmental Accounting Standards Board Statement No. 54.</w:t>
      </w:r>
    </w:p>
    <w:p w14:paraId="16544AE7" w14:textId="5C1B15A7" w:rsidR="00DD6CEF" w:rsidRPr="00284419"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 xml:space="preserve">This policy encompasses </w:t>
      </w:r>
      <w:r>
        <w:rPr>
          <w:rFonts w:ascii="Arial Narrow" w:eastAsia="Arial Narrow" w:hAnsi="Arial Narrow" w:cs="Arial Narrow"/>
          <w:color w:val="000000"/>
          <w:sz w:val="24"/>
          <w:szCs w:val="24"/>
        </w:rPr>
        <w:t>r</w:t>
      </w:r>
      <w:r w:rsidRPr="00284419">
        <w:rPr>
          <w:rFonts w:ascii="Arial Narrow" w:eastAsia="Arial Narrow" w:hAnsi="Arial Narrow" w:cs="Arial Narrow"/>
          <w:color w:val="000000"/>
          <w:sz w:val="24"/>
          <w:szCs w:val="24"/>
        </w:rPr>
        <w:t xml:space="preserve">estricted and </w:t>
      </w:r>
      <w:r>
        <w:rPr>
          <w:rFonts w:ascii="Arial Narrow" w:eastAsia="Arial Narrow" w:hAnsi="Arial Narrow" w:cs="Arial Narrow"/>
          <w:color w:val="000000"/>
          <w:sz w:val="24"/>
          <w:szCs w:val="24"/>
        </w:rPr>
        <w:t>u</w:t>
      </w:r>
      <w:r w:rsidRPr="00284419">
        <w:rPr>
          <w:rFonts w:ascii="Arial Narrow" w:eastAsia="Arial Narrow" w:hAnsi="Arial Narrow" w:cs="Arial Narrow"/>
          <w:color w:val="000000"/>
          <w:sz w:val="24"/>
          <w:szCs w:val="24"/>
        </w:rPr>
        <w:t xml:space="preserve">nrestricted </w:t>
      </w:r>
      <w:r>
        <w:rPr>
          <w:rFonts w:ascii="Arial Narrow" w:eastAsia="Arial Narrow" w:hAnsi="Arial Narrow" w:cs="Arial Narrow"/>
          <w:color w:val="000000"/>
          <w:sz w:val="24"/>
          <w:szCs w:val="24"/>
        </w:rPr>
        <w:t>r</w:t>
      </w:r>
      <w:r w:rsidRPr="00284419">
        <w:rPr>
          <w:rFonts w:ascii="Arial Narrow" w:eastAsia="Arial Narrow" w:hAnsi="Arial Narrow" w:cs="Arial Narrow"/>
          <w:color w:val="000000"/>
          <w:sz w:val="24"/>
          <w:szCs w:val="24"/>
        </w:rPr>
        <w:t>eserves</w:t>
      </w:r>
      <w:r>
        <w:rPr>
          <w:rFonts w:ascii="Arial Narrow" w:eastAsia="Arial Narrow" w:hAnsi="Arial Narrow" w:cs="Arial Narrow"/>
          <w:color w:val="000000"/>
          <w:sz w:val="24"/>
          <w:szCs w:val="24"/>
        </w:rPr>
        <w:t xml:space="preserve"> as follows:</w:t>
      </w:r>
      <w:r w:rsidRPr="00284419">
        <w:rPr>
          <w:rFonts w:ascii="Arial Narrow" w:eastAsia="Arial Narrow" w:hAnsi="Arial Narrow" w:cs="Arial Narrow"/>
          <w:color w:val="000000"/>
          <w:sz w:val="24"/>
          <w:szCs w:val="24"/>
        </w:rPr>
        <w:t xml:space="preserve"> </w:t>
      </w:r>
    </w:p>
    <w:p w14:paraId="3ACA4FDE" w14:textId="77777777" w:rsidR="00DD6CEF" w:rsidRDefault="00DD6CEF" w:rsidP="00DD6CEF">
      <w:pPr>
        <w:pStyle w:val="ListParagraph"/>
        <w:numPr>
          <w:ilvl w:val="0"/>
          <w:numId w:val="27"/>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1080"/>
        <w:contextualSpacing w:val="0"/>
        <w:textDirection w:val="btLr"/>
        <w:textAlignment w:val="top"/>
        <w:outlineLvl w:val="0"/>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 xml:space="preserve">Capital Restricted Reserve – </w:t>
      </w:r>
      <w:r>
        <w:rPr>
          <w:rFonts w:ascii="Arial Narrow" w:eastAsia="Arial Narrow" w:hAnsi="Arial Narrow" w:cs="Arial Narrow"/>
          <w:color w:val="000000"/>
          <w:sz w:val="24"/>
          <w:szCs w:val="24"/>
        </w:rPr>
        <w:t>Allocation</w:t>
      </w:r>
      <w:r w:rsidRPr="006934F2">
        <w:rPr>
          <w:rFonts w:ascii="Arial Narrow" w:eastAsia="Arial Narrow" w:hAnsi="Arial Narrow" w:cs="Arial Narrow"/>
          <w:color w:val="000000"/>
          <w:sz w:val="24"/>
          <w:szCs w:val="24"/>
        </w:rPr>
        <w:t xml:space="preserve"> for use must be approved by the District Board of Directors</w:t>
      </w:r>
    </w:p>
    <w:p w14:paraId="7E66CA37" w14:textId="77777777" w:rsidR="00DD6CEF" w:rsidRPr="006934F2" w:rsidRDefault="00DD6CEF" w:rsidP="00DD6CEF">
      <w:pPr>
        <w:pStyle w:val="ListParagraph"/>
        <w:numPr>
          <w:ilvl w:val="1"/>
          <w:numId w:val="27"/>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1800"/>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Large capital water/sewer projects targeted via the District Master Plan and/or Rate Study</w:t>
      </w:r>
    </w:p>
    <w:p w14:paraId="4868A6A0" w14:textId="77777777" w:rsidR="00DD6CEF" w:rsidRDefault="00DD6CEF" w:rsidP="00DD6CEF">
      <w:pPr>
        <w:pStyle w:val="ListParagraph"/>
        <w:numPr>
          <w:ilvl w:val="0"/>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Unrestricted Operational Reserves (Water and Sewer) – Allocation for use must be approved by the District Board of Directors</w:t>
      </w:r>
    </w:p>
    <w:p w14:paraId="71CD31B2" w14:textId="77777777" w:rsidR="00DD6CEF" w:rsidRPr="006934F2"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2160"/>
        <w:contextualSpacing w:val="0"/>
        <w:textDirection w:val="btLr"/>
        <w:textAlignment w:val="top"/>
        <w:outlineLvl w:val="0"/>
        <w:rPr>
          <w:rFonts w:ascii="Arial Narrow" w:eastAsia="Arial Narrow" w:hAnsi="Arial Narrow" w:cs="Arial Narrow"/>
          <w:color w:val="000000"/>
          <w:sz w:val="24"/>
          <w:szCs w:val="24"/>
        </w:rPr>
      </w:pPr>
      <w:r w:rsidRPr="006934F2">
        <w:rPr>
          <w:rFonts w:ascii="Arial Narrow" w:eastAsia="Arial Narrow" w:hAnsi="Arial Narrow" w:cs="Arial Narrow"/>
          <w:color w:val="000000"/>
          <w:sz w:val="24"/>
          <w:szCs w:val="24"/>
        </w:rPr>
        <w:t>Business Operation (2 quarters of annual operating budget)</w:t>
      </w:r>
    </w:p>
    <w:p w14:paraId="67F8773E" w14:textId="77777777" w:rsidR="00DD6CEF" w:rsidRPr="00284419"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2160"/>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Operational Contingencies (10 % of annual budget for water and sewer respectively)</w:t>
      </w:r>
    </w:p>
    <w:p w14:paraId="42036FD9" w14:textId="77777777" w:rsidR="00DD6CEF" w:rsidRPr="0000701B" w:rsidRDefault="00DD6CEF" w:rsidP="00DD6CEF">
      <w:pPr>
        <w:pStyle w:val="ListParagraph"/>
        <w:numPr>
          <w:ilvl w:val="0"/>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Unrestricted Fire Reserve – Allocation for use must be approved by the District Board of Directors</w:t>
      </w:r>
    </w:p>
    <w:p w14:paraId="18E6A802" w14:textId="77777777" w:rsidR="00DD6CEF" w:rsidRPr="0000701B"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Large Fire Capital Projects - targeted via the District Master Plan and/or Rate Study</w:t>
      </w:r>
    </w:p>
    <w:p w14:paraId="63C815D6" w14:textId="77777777" w:rsidR="00DD6CEF"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Fire Operational Contingencies</w:t>
      </w:r>
    </w:p>
    <w:p w14:paraId="64CCA9CD" w14:textId="14B2E9B3" w:rsidR="00DD6CEF" w:rsidRPr="00A6509F" w:rsidRDefault="00B72E18"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br/>
      </w:r>
      <w:r w:rsidR="00DD6CEF" w:rsidRPr="00A6509F">
        <w:rPr>
          <w:rFonts w:ascii="Arial Narrow" w:eastAsia="Arial Narrow" w:hAnsi="Arial Narrow" w:cs="Arial Narrow"/>
          <w:color w:val="000000"/>
          <w:sz w:val="24"/>
          <w:szCs w:val="24"/>
        </w:rPr>
        <w:t>Sources for funding the respective reserves are generated from:</w:t>
      </w:r>
    </w:p>
    <w:p w14:paraId="1A9B0986" w14:textId="77777777" w:rsidR="00DD6CEF" w:rsidRPr="00284419"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1440"/>
        <w:contextualSpacing w:val="0"/>
        <w:textDirection w:val="btLr"/>
        <w:textAlignment w:val="top"/>
        <w:outlineLvl w:val="0"/>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Fees</w:t>
      </w:r>
    </w:p>
    <w:p w14:paraId="48C90A4F" w14:textId="77777777" w:rsidR="00DD6CEF" w:rsidRPr="00284419"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1440"/>
        <w:contextualSpacing w:val="0"/>
        <w:textDirection w:val="btLr"/>
        <w:textAlignment w:val="top"/>
        <w:outlineLvl w:val="0"/>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Interest</w:t>
      </w:r>
      <w:r>
        <w:rPr>
          <w:rFonts w:ascii="Arial Narrow" w:eastAsia="Arial Narrow" w:hAnsi="Arial Narrow" w:cs="Arial Narrow"/>
          <w:color w:val="000000"/>
          <w:sz w:val="24"/>
          <w:szCs w:val="24"/>
        </w:rPr>
        <w:t xml:space="preserve"> from Investments</w:t>
      </w:r>
    </w:p>
    <w:p w14:paraId="639D4E1E" w14:textId="77777777" w:rsidR="00DD6CEF" w:rsidRPr="00284419"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1440"/>
        <w:contextualSpacing w:val="0"/>
        <w:textDirection w:val="btLr"/>
        <w:textAlignment w:val="top"/>
        <w:outlineLvl w:val="0"/>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Property Tax (Fire Reserve only)</w:t>
      </w:r>
    </w:p>
    <w:p w14:paraId="24CAB170" w14:textId="77777777" w:rsidR="00DD6CEF" w:rsidRDefault="00DD6CEF" w:rsidP="00DD6CEF">
      <w:pPr>
        <w:pStyle w:val="ListParagraph"/>
        <w:numPr>
          <w:ilvl w:val="1"/>
          <w:numId w:val="28"/>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ind w:left="1440"/>
        <w:contextualSpacing w:val="0"/>
        <w:textDirection w:val="btLr"/>
        <w:textAlignment w:val="top"/>
        <w:outlineLvl w:val="0"/>
        <w:rPr>
          <w:rFonts w:ascii="Arial Narrow" w:eastAsia="Arial Narrow" w:hAnsi="Arial Narrow" w:cs="Arial Narrow"/>
          <w:color w:val="000000"/>
          <w:sz w:val="24"/>
          <w:szCs w:val="24"/>
        </w:rPr>
      </w:pPr>
      <w:r w:rsidRPr="00284419">
        <w:rPr>
          <w:rFonts w:ascii="Arial Narrow" w:eastAsia="Arial Narrow" w:hAnsi="Arial Narrow" w:cs="Arial Narrow"/>
          <w:color w:val="000000"/>
          <w:sz w:val="24"/>
          <w:szCs w:val="24"/>
        </w:rPr>
        <w:t>Surplus from annual operations (if any)</w:t>
      </w:r>
    </w:p>
    <w:p w14:paraId="0F05D5AE" w14:textId="77777777" w:rsidR="00DD6CEF" w:rsidRPr="003E15E4"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left="-360"/>
        <w:rPr>
          <w:rFonts w:ascii="Arial Narrow" w:eastAsia="Arial Narrow" w:hAnsi="Arial Narrow" w:cs="Arial Narrow"/>
          <w:color w:val="000000"/>
          <w:sz w:val="24"/>
          <w:szCs w:val="24"/>
        </w:rPr>
      </w:pPr>
    </w:p>
    <w:p w14:paraId="6DE32C54" w14:textId="77777777" w:rsidR="00DD6CEF" w:rsidRDefault="00DD6CEF" w:rsidP="00DD6CEF">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lastRenderedPageBreak/>
        <w:t>Monitoring and Control of Reserve Funds:</w:t>
      </w:r>
    </w:p>
    <w:p w14:paraId="3F289497" w14:textId="77777777" w:rsidR="00DD6CEF" w:rsidRDefault="00DD6CEF" w:rsidP="00DD6CEF">
      <w:pPr>
        <w:pStyle w:val="ListParagraph"/>
        <w:numPr>
          <w:ilvl w:val="0"/>
          <w:numId w:val="29"/>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Reserve funds from regular fees are accumulated on a quarterly basis and moved to the appropriate reserve investment account. </w:t>
      </w:r>
    </w:p>
    <w:p w14:paraId="12D94B49" w14:textId="77777777" w:rsidR="00DD6CEF" w:rsidRDefault="00DD6CEF" w:rsidP="00DD6CEF">
      <w:pPr>
        <w:pStyle w:val="ListParagraph"/>
        <w:numPr>
          <w:ilvl w:val="0"/>
          <w:numId w:val="29"/>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Twice annually (February and July) the Board of Directors review and modify the reserve designations as appropriate.  Use of any reserve funding requires formal approval of the District’s Board of Directors.</w:t>
      </w:r>
    </w:p>
    <w:p w14:paraId="3529EE9C" w14:textId="77777777" w:rsidR="00DD6CEF" w:rsidRDefault="00DD6CEF" w:rsidP="00DD6CEF">
      <w:pPr>
        <w:pStyle w:val="ListParagraph"/>
        <w:numPr>
          <w:ilvl w:val="0"/>
          <w:numId w:val="29"/>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The General Manager/Treasurer provides recommendations to the District’s Board of Directors for the withdrawal and use of all reserve funds. </w:t>
      </w:r>
    </w:p>
    <w:p w14:paraId="24B3AE44" w14:textId="77777777" w:rsidR="00DD6CEF" w:rsidRPr="00A6509F" w:rsidRDefault="00DD6CEF" w:rsidP="00DD6CEF">
      <w:pPr>
        <w:pStyle w:val="ListParagraph"/>
        <w:numPr>
          <w:ilvl w:val="0"/>
          <w:numId w:val="29"/>
        </w:num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uppressAutoHyphens/>
        <w:spacing w:after="0" w:line="240" w:lineRule="auto"/>
        <w:contextualSpacing w:val="0"/>
        <w:textDirection w:val="btLr"/>
        <w:textAlignment w:val="top"/>
        <w:outlineLvl w:val="0"/>
        <w:rPr>
          <w:rFonts w:ascii="Arial Narrow" w:eastAsia="Arial Narrow" w:hAnsi="Arial Narrow" w:cs="Arial Narrow"/>
          <w:color w:val="000000"/>
          <w:sz w:val="24"/>
          <w:szCs w:val="24"/>
        </w:rPr>
      </w:pPr>
      <w:r w:rsidRPr="00A6509F">
        <w:rPr>
          <w:rFonts w:ascii="Arial Narrow" w:eastAsia="Arial Narrow" w:hAnsi="Arial Narrow" w:cs="Arial Narrow"/>
          <w:color w:val="000000"/>
          <w:sz w:val="24"/>
          <w:szCs w:val="24"/>
        </w:rPr>
        <w:t>The General Manager, in collaboration with the District’s Financial Advisor, shall perform a reserve status annually, and provide to the Board of Directors for their review during the annual review/approval of Budget and Reserve Funds.</w:t>
      </w:r>
    </w:p>
    <w:p w14:paraId="256432C5" w14:textId="77777777" w:rsidR="00CF6079" w:rsidRPr="00262C62" w:rsidRDefault="00CF6079" w:rsidP="00C05AAF">
      <w:pPr>
        <w:pStyle w:val="CSDAPolicy1"/>
        <w:rPr>
          <w:rFonts w:asciiTheme="minorHAnsi" w:hAnsiTheme="minorHAnsi" w:cstheme="minorHAnsi"/>
          <w:b/>
          <w:bCs/>
          <w:spacing w:val="-4"/>
          <w:szCs w:val="24"/>
        </w:rPr>
      </w:pPr>
    </w:p>
    <w:sectPr w:rsidR="00CF6079" w:rsidRPr="00262C6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8F802" w14:textId="77777777" w:rsidR="00E26BFA" w:rsidRDefault="00E26BFA" w:rsidP="00C81FBF">
      <w:pPr>
        <w:spacing w:after="0" w:line="240" w:lineRule="auto"/>
      </w:pPr>
      <w:r>
        <w:separator/>
      </w:r>
    </w:p>
  </w:endnote>
  <w:endnote w:type="continuationSeparator" w:id="0">
    <w:p w14:paraId="60DB91D4" w14:textId="77777777" w:rsidR="00E26BFA" w:rsidRDefault="00E26BF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32098" w14:textId="77777777" w:rsidR="00E26BFA" w:rsidRDefault="00E26BFA" w:rsidP="00C81FBF">
      <w:pPr>
        <w:spacing w:after="0" w:line="240" w:lineRule="auto"/>
      </w:pPr>
      <w:r>
        <w:separator/>
      </w:r>
    </w:p>
  </w:footnote>
  <w:footnote w:type="continuationSeparator" w:id="0">
    <w:p w14:paraId="30F2D782" w14:textId="77777777" w:rsidR="00E26BFA" w:rsidRDefault="00E26BFA"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6634820"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64E00"/>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7A208D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5"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8BA544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8"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1A92185E"/>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0"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C9367D7"/>
    <w:multiLevelType w:val="hybridMultilevel"/>
    <w:tmpl w:val="BBDC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28C1F71"/>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5" w15:restartNumberingAfterBreak="0">
    <w:nsid w:val="23105AA3"/>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6" w15:restartNumberingAfterBreak="0">
    <w:nsid w:val="2C974916"/>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7"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F5AEB"/>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0" w15:restartNumberingAfterBreak="0">
    <w:nsid w:val="49DD5710"/>
    <w:multiLevelType w:val="hybridMultilevel"/>
    <w:tmpl w:val="B0D8E0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AD0837"/>
    <w:multiLevelType w:val="hybridMultilevel"/>
    <w:tmpl w:val="A2D66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C3D47"/>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4"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766412"/>
    <w:multiLevelType w:val="hybridMultilevel"/>
    <w:tmpl w:val="C4EC37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783139AB"/>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13"/>
  </w:num>
  <w:num w:numId="2">
    <w:abstractNumId w:val="18"/>
  </w:num>
  <w:num w:numId="3">
    <w:abstractNumId w:val="24"/>
  </w:num>
  <w:num w:numId="4">
    <w:abstractNumId w:val="1"/>
  </w:num>
  <w:num w:numId="5">
    <w:abstractNumId w:val="6"/>
  </w:num>
  <w:num w:numId="6">
    <w:abstractNumId w:val="17"/>
  </w:num>
  <w:num w:numId="7">
    <w:abstractNumId w:val="26"/>
  </w:num>
  <w:num w:numId="8">
    <w:abstractNumId w:val="12"/>
  </w:num>
  <w:num w:numId="9">
    <w:abstractNumId w:val="3"/>
  </w:num>
  <w:num w:numId="10">
    <w:abstractNumId w:val="21"/>
  </w:num>
  <w:num w:numId="11">
    <w:abstractNumId w:val="10"/>
  </w:num>
  <w:num w:numId="12">
    <w:abstractNumId w:val="8"/>
  </w:num>
  <w:num w:numId="13">
    <w:abstractNumId w:val="27"/>
  </w:num>
  <w:num w:numId="14">
    <w:abstractNumId w:val="0"/>
  </w:num>
  <w:num w:numId="15">
    <w:abstractNumId w:val="5"/>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426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2483"/>
    <w:rsid w:val="002231E9"/>
    <w:rsid w:val="00236862"/>
    <w:rsid w:val="0025309A"/>
    <w:rsid w:val="0025336E"/>
    <w:rsid w:val="00262C62"/>
    <w:rsid w:val="002915D4"/>
    <w:rsid w:val="002B4319"/>
    <w:rsid w:val="002C4050"/>
    <w:rsid w:val="002D1E1F"/>
    <w:rsid w:val="002D706C"/>
    <w:rsid w:val="002D72C4"/>
    <w:rsid w:val="002E5C3F"/>
    <w:rsid w:val="002F1814"/>
    <w:rsid w:val="002F31A3"/>
    <w:rsid w:val="002F4F04"/>
    <w:rsid w:val="00310A2D"/>
    <w:rsid w:val="00324A8B"/>
    <w:rsid w:val="00333CFB"/>
    <w:rsid w:val="0035260E"/>
    <w:rsid w:val="0035336F"/>
    <w:rsid w:val="00385698"/>
    <w:rsid w:val="00391FB6"/>
    <w:rsid w:val="003C0BEA"/>
    <w:rsid w:val="003C64C4"/>
    <w:rsid w:val="003D0BBA"/>
    <w:rsid w:val="003D348A"/>
    <w:rsid w:val="003D5EB8"/>
    <w:rsid w:val="003E7AFF"/>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250A0"/>
    <w:rsid w:val="0065065C"/>
    <w:rsid w:val="006569D0"/>
    <w:rsid w:val="00663ABC"/>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62D9D"/>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4EE0"/>
    <w:rsid w:val="00895E79"/>
    <w:rsid w:val="00896768"/>
    <w:rsid w:val="008A72DD"/>
    <w:rsid w:val="008C63A4"/>
    <w:rsid w:val="008D42D4"/>
    <w:rsid w:val="008D6942"/>
    <w:rsid w:val="00920FA5"/>
    <w:rsid w:val="0094140E"/>
    <w:rsid w:val="00966BA4"/>
    <w:rsid w:val="0097438A"/>
    <w:rsid w:val="00976C49"/>
    <w:rsid w:val="00982845"/>
    <w:rsid w:val="00986C60"/>
    <w:rsid w:val="009907DE"/>
    <w:rsid w:val="009A3CC2"/>
    <w:rsid w:val="009A5D05"/>
    <w:rsid w:val="009B0209"/>
    <w:rsid w:val="009B7413"/>
    <w:rsid w:val="009E1EDC"/>
    <w:rsid w:val="009E5BA8"/>
    <w:rsid w:val="00A02A69"/>
    <w:rsid w:val="00A0347A"/>
    <w:rsid w:val="00A107E9"/>
    <w:rsid w:val="00A23587"/>
    <w:rsid w:val="00A26B7A"/>
    <w:rsid w:val="00A338D0"/>
    <w:rsid w:val="00A3405A"/>
    <w:rsid w:val="00A35AD7"/>
    <w:rsid w:val="00A40D4D"/>
    <w:rsid w:val="00A41D87"/>
    <w:rsid w:val="00A6368B"/>
    <w:rsid w:val="00A67D1F"/>
    <w:rsid w:val="00A70B02"/>
    <w:rsid w:val="00A71402"/>
    <w:rsid w:val="00A84D54"/>
    <w:rsid w:val="00A87D8B"/>
    <w:rsid w:val="00A902E8"/>
    <w:rsid w:val="00AB542B"/>
    <w:rsid w:val="00AC0604"/>
    <w:rsid w:val="00AC1B84"/>
    <w:rsid w:val="00AC450A"/>
    <w:rsid w:val="00AF1B46"/>
    <w:rsid w:val="00B1294E"/>
    <w:rsid w:val="00B16279"/>
    <w:rsid w:val="00B51C13"/>
    <w:rsid w:val="00B53AEB"/>
    <w:rsid w:val="00B72E18"/>
    <w:rsid w:val="00B73F7F"/>
    <w:rsid w:val="00B85968"/>
    <w:rsid w:val="00B94367"/>
    <w:rsid w:val="00B958A0"/>
    <w:rsid w:val="00BA0127"/>
    <w:rsid w:val="00BA6359"/>
    <w:rsid w:val="00BB09E8"/>
    <w:rsid w:val="00BB1861"/>
    <w:rsid w:val="00BC7C68"/>
    <w:rsid w:val="00BD6548"/>
    <w:rsid w:val="00BF1CAF"/>
    <w:rsid w:val="00BF6A10"/>
    <w:rsid w:val="00C029BE"/>
    <w:rsid w:val="00C05AAF"/>
    <w:rsid w:val="00C127C4"/>
    <w:rsid w:val="00C32440"/>
    <w:rsid w:val="00C32670"/>
    <w:rsid w:val="00C57D54"/>
    <w:rsid w:val="00C80B22"/>
    <w:rsid w:val="00C81FBF"/>
    <w:rsid w:val="00C96C10"/>
    <w:rsid w:val="00CA199A"/>
    <w:rsid w:val="00CA1BA8"/>
    <w:rsid w:val="00CB4DEB"/>
    <w:rsid w:val="00CC7CA2"/>
    <w:rsid w:val="00CD2EC9"/>
    <w:rsid w:val="00CF6079"/>
    <w:rsid w:val="00D03F43"/>
    <w:rsid w:val="00D20545"/>
    <w:rsid w:val="00D26246"/>
    <w:rsid w:val="00D372D7"/>
    <w:rsid w:val="00D57FFC"/>
    <w:rsid w:val="00D6030C"/>
    <w:rsid w:val="00D73DAF"/>
    <w:rsid w:val="00D751A6"/>
    <w:rsid w:val="00D96B18"/>
    <w:rsid w:val="00DA3247"/>
    <w:rsid w:val="00DA7455"/>
    <w:rsid w:val="00DB0B0A"/>
    <w:rsid w:val="00DC1010"/>
    <w:rsid w:val="00DD6CEF"/>
    <w:rsid w:val="00DE4281"/>
    <w:rsid w:val="00DF28A7"/>
    <w:rsid w:val="00E02FAE"/>
    <w:rsid w:val="00E045A1"/>
    <w:rsid w:val="00E12B0C"/>
    <w:rsid w:val="00E141E3"/>
    <w:rsid w:val="00E16D01"/>
    <w:rsid w:val="00E26BFA"/>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paragraph" w:styleId="Heading2">
    <w:name w:val="heading 2"/>
    <w:basedOn w:val="Normal"/>
    <w:next w:val="Normal"/>
    <w:link w:val="Heading2Char"/>
    <w:uiPriority w:val="9"/>
    <w:semiHidden/>
    <w:unhideWhenUsed/>
    <w:qFormat/>
    <w:rsid w:val="00AF1B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uiPriority w:val="10"/>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uiPriority w:val="99"/>
    <w:semiHidden/>
    <w:rsid w:val="00CB4DEB"/>
    <w:rPr>
      <w:rFonts w:ascii="Arial" w:hAnsi="Arial"/>
      <w:sz w:val="16"/>
    </w:rPr>
  </w:style>
  <w:style w:type="paragraph" w:styleId="CommentText">
    <w:name w:val="annotation text"/>
    <w:basedOn w:val="Normal"/>
    <w:link w:val="CommentTextChar"/>
    <w:uiPriority w:val="99"/>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uiPriority w:val="99"/>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 w:type="character" w:customStyle="1" w:styleId="Heading2Char">
    <w:name w:val="Heading 2 Char"/>
    <w:basedOn w:val="DefaultParagraphFont"/>
    <w:link w:val="Heading2"/>
    <w:uiPriority w:val="9"/>
    <w:semiHidden/>
    <w:rsid w:val="00AF1B4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A902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186092579">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3</cp:revision>
  <cp:lastPrinted>2020-11-23T20:40:00Z</cp:lastPrinted>
  <dcterms:created xsi:type="dcterms:W3CDTF">2021-11-02T00:40:00Z</dcterms:created>
  <dcterms:modified xsi:type="dcterms:W3CDTF">2021-11-02T00:51:00Z</dcterms:modified>
</cp:coreProperties>
</file>