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706E89FF" w:rsidR="00C81FBF" w:rsidRDefault="008D2087">
      <w:r>
        <w:t xml:space="preserve">This brief is being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1BFED9B9" w:rsidR="004A0DEF" w:rsidRPr="003475BA" w:rsidRDefault="00710F8B">
      <w:r w:rsidRPr="00710F8B">
        <w:rPr>
          <w:b/>
          <w:bCs/>
        </w:rPr>
        <w:t>Date:</w:t>
      </w:r>
      <w:r w:rsidR="003475BA">
        <w:rPr>
          <w:b/>
          <w:bCs/>
        </w:rPr>
        <w:t xml:space="preserve">  </w:t>
      </w:r>
      <w:r w:rsidR="008753C3">
        <w:t>15 Nov</w:t>
      </w:r>
      <w:r w:rsidR="00B41056">
        <w:t xml:space="preserve"> 2021</w:t>
      </w:r>
    </w:p>
    <w:p w14:paraId="48748697" w14:textId="28E1B122" w:rsidR="002B7FD2" w:rsidRDefault="0086657E" w:rsidP="0086657E">
      <w:pPr>
        <w:rPr>
          <w:b/>
          <w:bCs/>
        </w:rPr>
      </w:pPr>
      <w:r w:rsidRPr="00C73C60">
        <w:rPr>
          <w:b/>
          <w:bCs/>
        </w:rPr>
        <w:t>Originator:</w:t>
      </w:r>
      <w:r w:rsidRPr="00C73C60">
        <w:t xml:space="preserve">  </w:t>
      </w:r>
      <w:r w:rsidR="003475BA">
        <w:t>General Manager</w:t>
      </w:r>
    </w:p>
    <w:p w14:paraId="1C1D736E" w14:textId="3D06997C"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p>
    <w:p w14:paraId="17A021BB" w14:textId="07C874DF" w:rsidR="00A273E3" w:rsidRPr="001319B6" w:rsidRDefault="00D756EC" w:rsidP="00896CF5">
      <w:pPr>
        <w:tabs>
          <w:tab w:val="left" w:pos="1620"/>
        </w:tabs>
        <w:spacing w:after="120"/>
      </w:pPr>
      <w:r>
        <w:rPr>
          <w:b/>
          <w:bCs/>
        </w:rPr>
        <w:t>Supporting Documents Included:</w:t>
      </w:r>
      <w:r w:rsidR="007D21BD">
        <w:rPr>
          <w:b/>
          <w:bCs/>
        </w:rPr>
        <w:t xml:space="preserve">   </w:t>
      </w:r>
      <w:r w:rsidR="00A273E3" w:rsidRPr="001319B6">
        <w:t>No</w:t>
      </w:r>
    </w:p>
    <w:p w14:paraId="37024BDC" w14:textId="528C48F5" w:rsidR="007D21BD" w:rsidRPr="00C73C60" w:rsidRDefault="007D21BD" w:rsidP="00896CF5">
      <w:pPr>
        <w:tabs>
          <w:tab w:val="left" w:pos="1620"/>
        </w:tabs>
        <w:spacing w:before="120" w:after="80"/>
        <w:contextualSpacing/>
        <w:rPr>
          <w:b/>
          <w:bCs/>
        </w:rPr>
      </w:pPr>
      <w:r>
        <w:rPr>
          <w:b/>
          <w:bCs/>
        </w:rPr>
        <w:t>*********************************************************</w:t>
      </w:r>
    </w:p>
    <w:p w14:paraId="103F517E" w14:textId="092EDF84" w:rsidR="003475BA" w:rsidRDefault="00531DE5" w:rsidP="00896CF5">
      <w:pPr>
        <w:pStyle w:val="ListParagraph"/>
        <w:numPr>
          <w:ilvl w:val="0"/>
          <w:numId w:val="3"/>
        </w:numPr>
        <w:spacing w:after="120"/>
        <w:ind w:left="360"/>
        <w:rPr>
          <w:b/>
          <w:bCs/>
        </w:rPr>
      </w:pPr>
      <w:r>
        <w:rPr>
          <w:b/>
          <w:bCs/>
        </w:rPr>
        <w:t>CalOES Power Grant Update</w:t>
      </w:r>
    </w:p>
    <w:p w14:paraId="74919362" w14:textId="13E14799" w:rsidR="00531DE5" w:rsidRDefault="008753C3" w:rsidP="00EF6AD0">
      <w:pPr>
        <w:pStyle w:val="ListParagraph"/>
        <w:numPr>
          <w:ilvl w:val="0"/>
          <w:numId w:val="10"/>
        </w:numPr>
        <w:spacing w:after="240"/>
      </w:pPr>
      <w:r>
        <w:t>GENSETS start to arrive week of 8 November</w:t>
      </w:r>
    </w:p>
    <w:p w14:paraId="5E8F7BA3" w14:textId="1E026A6A" w:rsidR="00B41056" w:rsidRDefault="00C03F40" w:rsidP="00531DE5">
      <w:pPr>
        <w:pStyle w:val="ListParagraph"/>
        <w:numPr>
          <w:ilvl w:val="0"/>
          <w:numId w:val="10"/>
        </w:numPr>
        <w:spacing w:after="120"/>
        <w:contextualSpacing w:val="0"/>
      </w:pPr>
      <w:r>
        <w:t xml:space="preserve">First progress report due to CalOES </w:t>
      </w:r>
      <w:r w:rsidR="002D4261">
        <w:t>NLT 30 November</w:t>
      </w:r>
      <w:r>
        <w:t xml:space="preserve"> – no issues to report</w:t>
      </w:r>
    </w:p>
    <w:p w14:paraId="0C1264C8" w14:textId="7684CDE0" w:rsidR="00853FB8" w:rsidRDefault="00853FB8" w:rsidP="00531DE5">
      <w:pPr>
        <w:pStyle w:val="ListParagraph"/>
        <w:numPr>
          <w:ilvl w:val="0"/>
          <w:numId w:val="3"/>
        </w:numPr>
        <w:spacing w:after="120"/>
        <w:ind w:left="360"/>
        <w:rPr>
          <w:b/>
          <w:bCs/>
        </w:rPr>
      </w:pPr>
      <w:r>
        <w:rPr>
          <w:b/>
          <w:bCs/>
        </w:rPr>
        <w:t>COVID Update</w:t>
      </w:r>
    </w:p>
    <w:p w14:paraId="5FDAFB37" w14:textId="4C7B6C70" w:rsidR="00853FB8" w:rsidRDefault="00853FB8" w:rsidP="00853FB8">
      <w:pPr>
        <w:pStyle w:val="ListParagraph"/>
        <w:numPr>
          <w:ilvl w:val="0"/>
          <w:numId w:val="10"/>
        </w:numPr>
        <w:spacing w:after="240"/>
      </w:pPr>
      <w:r>
        <w:t>No cases of COVID among CSD or HOA staff</w:t>
      </w:r>
    </w:p>
    <w:p w14:paraId="35FBD144" w14:textId="29F0ABAE" w:rsidR="00853FB8" w:rsidRPr="00853FB8" w:rsidRDefault="00853FB8" w:rsidP="00853FB8">
      <w:pPr>
        <w:pStyle w:val="ListParagraph"/>
        <w:numPr>
          <w:ilvl w:val="0"/>
          <w:numId w:val="10"/>
        </w:numPr>
        <w:spacing w:after="240"/>
        <w:contextualSpacing w:val="0"/>
      </w:pPr>
      <w:proofErr w:type="spellStart"/>
      <w:r>
        <w:t>CalOSHA</w:t>
      </w:r>
      <w:proofErr w:type="spellEnd"/>
      <w:r>
        <w:t xml:space="preserve"> is following US OSHA COVID vaccine and masking policies.  Currently applicable to organizations of 100 or more employees but that may change.  Doesn’t dramatically change how we continue to operate other than requiring regular testing for unvaccinated employees working in doors. </w:t>
      </w:r>
    </w:p>
    <w:p w14:paraId="28F0931E" w14:textId="24E1F8CC" w:rsidR="00531DE5" w:rsidRDefault="00531DE5" w:rsidP="00531DE5">
      <w:pPr>
        <w:pStyle w:val="ListParagraph"/>
        <w:numPr>
          <w:ilvl w:val="0"/>
          <w:numId w:val="3"/>
        </w:numPr>
        <w:spacing w:after="120"/>
        <w:ind w:left="360"/>
        <w:rPr>
          <w:b/>
          <w:bCs/>
        </w:rPr>
      </w:pPr>
      <w:r>
        <w:rPr>
          <w:b/>
          <w:bCs/>
        </w:rPr>
        <w:t>Grant</w:t>
      </w:r>
      <w:r w:rsidR="00C03F40">
        <w:rPr>
          <w:b/>
          <w:bCs/>
        </w:rPr>
        <w:t xml:space="preserve"> update</w:t>
      </w:r>
    </w:p>
    <w:p w14:paraId="18161DF6" w14:textId="713EE3D9" w:rsidR="002D4261" w:rsidRDefault="002D4261" w:rsidP="001665CA">
      <w:pPr>
        <w:pStyle w:val="ListParagraph"/>
        <w:numPr>
          <w:ilvl w:val="0"/>
          <w:numId w:val="10"/>
        </w:numPr>
        <w:spacing w:after="0"/>
        <w:contextualSpacing w:val="0"/>
      </w:pPr>
      <w:r>
        <w:t xml:space="preserve">I’m working on the </w:t>
      </w:r>
      <w:r w:rsidR="001665CA">
        <w:t>SNC planning grant</w:t>
      </w:r>
      <w:r>
        <w:t xml:space="preserve"> concept proposal, due 22 November.  If </w:t>
      </w:r>
      <w:proofErr w:type="gramStart"/>
      <w:r>
        <w:t>successful</w:t>
      </w:r>
      <w:proofErr w:type="gramEnd"/>
      <w:r>
        <w:t xml:space="preserve"> this will lead to a complete grant package. </w:t>
      </w:r>
    </w:p>
    <w:p w14:paraId="2FB48954" w14:textId="79FD0B1E" w:rsidR="001665CA" w:rsidRDefault="001665CA" w:rsidP="001665CA">
      <w:pPr>
        <w:pStyle w:val="ListParagraph"/>
        <w:numPr>
          <w:ilvl w:val="0"/>
          <w:numId w:val="10"/>
        </w:numPr>
        <w:spacing w:after="0"/>
        <w:contextualSpacing w:val="0"/>
      </w:pPr>
      <w:r>
        <w:t>Submitted small district drought preparation grant for rehabilitation of Well 29</w:t>
      </w:r>
    </w:p>
    <w:p w14:paraId="7BA073C2" w14:textId="4EAC3437" w:rsidR="001665CA" w:rsidRDefault="001665CA" w:rsidP="001665CA">
      <w:pPr>
        <w:pStyle w:val="ListParagraph"/>
        <w:numPr>
          <w:ilvl w:val="0"/>
          <w:numId w:val="10"/>
        </w:numPr>
        <w:spacing w:after="0"/>
        <w:contextualSpacing w:val="0"/>
      </w:pPr>
      <w:r>
        <w:t>Preparing small district drought preparation grant for water reclamation plan</w:t>
      </w:r>
    </w:p>
    <w:p w14:paraId="671BB1FF" w14:textId="30CE2A1D" w:rsidR="00EF6AD0" w:rsidRPr="00853FB8" w:rsidRDefault="002D4261" w:rsidP="00853FB8">
      <w:pPr>
        <w:pStyle w:val="ListParagraph"/>
        <w:numPr>
          <w:ilvl w:val="0"/>
          <w:numId w:val="10"/>
        </w:numPr>
        <w:spacing w:after="240"/>
        <w:contextualSpacing w:val="0"/>
      </w:pPr>
      <w:r>
        <w:t xml:space="preserve">Both IRWM and CalFire have announced new grant opportunities over the winter. </w:t>
      </w:r>
    </w:p>
    <w:p w14:paraId="38344DD0" w14:textId="56B8B6FE" w:rsidR="00CA6EEC" w:rsidRDefault="00357DF9" w:rsidP="00184A1C">
      <w:pPr>
        <w:pStyle w:val="ListParagraph"/>
        <w:numPr>
          <w:ilvl w:val="0"/>
          <w:numId w:val="3"/>
        </w:numPr>
        <w:spacing w:after="120"/>
        <w:ind w:left="360"/>
        <w:contextualSpacing w:val="0"/>
        <w:rPr>
          <w:b/>
          <w:bCs/>
        </w:rPr>
      </w:pPr>
      <w:r>
        <w:rPr>
          <w:b/>
          <w:bCs/>
        </w:rPr>
        <w:t>Drought Developments</w:t>
      </w:r>
    </w:p>
    <w:p w14:paraId="470D6C42" w14:textId="6679EC87" w:rsidR="0089674B" w:rsidRDefault="0089674B" w:rsidP="0092481E">
      <w:pPr>
        <w:pStyle w:val="ListParagraph"/>
        <w:numPr>
          <w:ilvl w:val="0"/>
          <w:numId w:val="12"/>
        </w:numPr>
        <w:spacing w:after="120"/>
      </w:pPr>
      <w:r>
        <w:t>Plumas County remains Rated as D2-Severe Drought (one step below D3-Extreme drought)</w:t>
      </w:r>
    </w:p>
    <w:p w14:paraId="5C72AEF9" w14:textId="5ABB3124" w:rsidR="00A97232" w:rsidRDefault="001665CA" w:rsidP="0092481E">
      <w:pPr>
        <w:pStyle w:val="ListParagraph"/>
        <w:numPr>
          <w:ilvl w:val="0"/>
          <w:numId w:val="12"/>
        </w:numPr>
        <w:spacing w:after="120"/>
        <w:contextualSpacing w:val="0"/>
      </w:pPr>
      <w:r>
        <w:t xml:space="preserve">DWR and </w:t>
      </w:r>
      <w:r w:rsidR="00A97232">
        <w:t xml:space="preserve">SWB </w:t>
      </w:r>
      <w:r>
        <w:t>appear to be issuing drought instructions on regional/water basin basis</w:t>
      </w:r>
      <w:r w:rsidR="004237DF">
        <w:t xml:space="preserve">. </w:t>
      </w:r>
      <w:r>
        <w:t xml:space="preserve">So </w:t>
      </w:r>
      <w:proofErr w:type="gramStart"/>
      <w:r>
        <w:t>far</w:t>
      </w:r>
      <w:proofErr w:type="gramEnd"/>
      <w:r>
        <w:t xml:space="preserve"> no restrictions</w:t>
      </w:r>
      <w:r w:rsidR="002D4261">
        <w:t xml:space="preserve"> are in place for the Eastern slope of the Sierra’s north of Tahoe.  </w:t>
      </w:r>
      <w:r>
        <w:t xml:space="preserve"> </w:t>
      </w:r>
      <w:r w:rsidR="002D4261">
        <w:t>I’m continuing to monitor</w:t>
      </w:r>
    </w:p>
    <w:p w14:paraId="126306AE" w14:textId="159441E5" w:rsidR="00D11E95" w:rsidRDefault="00D11E95" w:rsidP="00184A1C">
      <w:pPr>
        <w:pStyle w:val="ListParagraph"/>
        <w:numPr>
          <w:ilvl w:val="0"/>
          <w:numId w:val="3"/>
        </w:numPr>
        <w:spacing w:after="120"/>
        <w:ind w:left="360"/>
        <w:contextualSpacing w:val="0"/>
        <w:rPr>
          <w:b/>
          <w:bCs/>
        </w:rPr>
      </w:pPr>
      <w:r>
        <w:rPr>
          <w:b/>
          <w:bCs/>
        </w:rPr>
        <w:t>HFT Update</w:t>
      </w:r>
    </w:p>
    <w:p w14:paraId="79819FB8" w14:textId="62DC9439" w:rsidR="008C35DE" w:rsidRDefault="002D4261" w:rsidP="00A77DE9">
      <w:pPr>
        <w:pStyle w:val="ListParagraph"/>
        <w:numPr>
          <w:ilvl w:val="0"/>
          <w:numId w:val="12"/>
        </w:numPr>
        <w:spacing w:after="120"/>
        <w:contextualSpacing w:val="0"/>
      </w:pPr>
      <w:r>
        <w:t xml:space="preserve">Dan Winningham completed HFT operations on 4 November after determining the ground was too soft and muddy due to the </w:t>
      </w:r>
      <w:r w:rsidR="008C35DE">
        <w:t xml:space="preserve">big storm to continue work.  There is a small possibility that if we return to dry conditions or the ground freezes that he might be back up to finish that last roughly </w:t>
      </w:r>
      <w:r w:rsidR="00853FB8">
        <w:t xml:space="preserve">6 </w:t>
      </w:r>
      <w:r w:rsidR="008C35DE">
        <w:t xml:space="preserve">acres, but it is unlikely at this point.  We’ll plan to pick up in the spring. </w:t>
      </w:r>
    </w:p>
    <w:p w14:paraId="3508BB31" w14:textId="7B12FACD" w:rsidR="00A77DE9" w:rsidRDefault="00A77DE9" w:rsidP="00D11E95">
      <w:pPr>
        <w:pStyle w:val="ListParagraph"/>
        <w:numPr>
          <w:ilvl w:val="0"/>
          <w:numId w:val="12"/>
        </w:numPr>
        <w:spacing w:after="0"/>
        <w:contextualSpacing w:val="0"/>
      </w:pPr>
      <w:r>
        <w:t xml:space="preserve">Thanks to Mike Callahan who donated a great number of hours to walk the property, coordinate with owners, and find solutions to problem.  Working together with Kyle Felker, our Forest Management consultant, we had a great team on the ground. </w:t>
      </w:r>
    </w:p>
    <w:p w14:paraId="214F867E" w14:textId="77777777" w:rsidR="00A77DE9" w:rsidRDefault="00A77DE9" w:rsidP="00A77DE9">
      <w:pPr>
        <w:pStyle w:val="ListParagraph"/>
        <w:spacing w:after="0"/>
        <w:ind w:left="360"/>
        <w:contextualSpacing w:val="0"/>
      </w:pPr>
    </w:p>
    <w:p w14:paraId="432F2CE4" w14:textId="28FBD5BA" w:rsidR="00A77DE9" w:rsidRDefault="00A77DE9" w:rsidP="00D11E95">
      <w:pPr>
        <w:pStyle w:val="ListParagraph"/>
        <w:numPr>
          <w:ilvl w:val="0"/>
          <w:numId w:val="12"/>
        </w:numPr>
        <w:spacing w:after="0"/>
        <w:contextualSpacing w:val="0"/>
      </w:pPr>
      <w:r>
        <w:lastRenderedPageBreak/>
        <w:t>HFT Results summarized below</w:t>
      </w:r>
    </w:p>
    <w:p w14:paraId="09841DE1" w14:textId="77777777" w:rsidR="00A77DE9" w:rsidRDefault="00A77DE9" w:rsidP="00AE4910">
      <w:pPr>
        <w:pStyle w:val="ListParagraph"/>
        <w:ind w:left="0"/>
      </w:pPr>
    </w:p>
    <w:p w14:paraId="35A35939" w14:textId="77777777" w:rsidR="00A77DE9" w:rsidRDefault="00A77DE9" w:rsidP="00A77DE9">
      <w:pPr>
        <w:spacing w:after="0"/>
        <w:rPr>
          <w:b/>
          <w:bCs/>
        </w:rPr>
      </w:pPr>
      <w:r w:rsidRPr="00D2759F">
        <w:rPr>
          <w:b/>
          <w:bCs/>
        </w:rPr>
        <w:t>COST OF TREATMENT</w:t>
      </w:r>
    </w:p>
    <w:p w14:paraId="2B0C4DDE" w14:textId="223A2D48" w:rsidR="00AE4910" w:rsidRDefault="00AE4910" w:rsidP="00AE4910">
      <w:r w:rsidRPr="00D2759F">
        <w:t>* Includes $4,953 of subsidized costs to bring 13.2 private acres into treatment at an average subsidized cost of only $375 per acre.</w:t>
      </w:r>
    </w:p>
    <w:tbl>
      <w:tblPr>
        <w:tblStyle w:val="TableGrid"/>
        <w:tblpPr w:leftFromText="180" w:rightFromText="180" w:vertAnchor="text" w:horzAnchor="margin" w:tblpY="329"/>
        <w:tblW w:w="0" w:type="auto"/>
        <w:tblLook w:val="04A0" w:firstRow="1" w:lastRow="0" w:firstColumn="1" w:lastColumn="0" w:noHBand="0" w:noVBand="1"/>
      </w:tblPr>
      <w:tblGrid>
        <w:gridCol w:w="1720"/>
        <w:gridCol w:w="1296"/>
        <w:gridCol w:w="1296"/>
        <w:gridCol w:w="1296"/>
        <w:gridCol w:w="1296"/>
      </w:tblGrid>
      <w:tr w:rsidR="00AE4910" w:rsidRPr="003605AA" w14:paraId="402BE58A" w14:textId="77777777" w:rsidTr="00AE4910">
        <w:trPr>
          <w:trHeight w:val="290"/>
        </w:trPr>
        <w:tc>
          <w:tcPr>
            <w:tcW w:w="1720" w:type="dxa"/>
            <w:noWrap/>
            <w:hideMark/>
          </w:tcPr>
          <w:p w14:paraId="1A9B5AFE" w14:textId="77777777" w:rsidR="00AE4910" w:rsidRPr="003605AA" w:rsidRDefault="00AE4910" w:rsidP="00AE4910"/>
        </w:tc>
        <w:tc>
          <w:tcPr>
            <w:tcW w:w="1296" w:type="dxa"/>
            <w:noWrap/>
            <w:hideMark/>
          </w:tcPr>
          <w:p w14:paraId="54FE7AD8" w14:textId="77777777" w:rsidR="00AE4910" w:rsidRPr="003605AA" w:rsidRDefault="00AE4910" w:rsidP="00AE4910">
            <w:pPr>
              <w:jc w:val="center"/>
            </w:pPr>
            <w:r w:rsidRPr="003605AA">
              <w:t>Phase I</w:t>
            </w:r>
          </w:p>
        </w:tc>
        <w:tc>
          <w:tcPr>
            <w:tcW w:w="1296" w:type="dxa"/>
            <w:noWrap/>
            <w:hideMark/>
          </w:tcPr>
          <w:p w14:paraId="41BB8FA1" w14:textId="77777777" w:rsidR="00AE4910" w:rsidRPr="003605AA" w:rsidRDefault="00AE4910" w:rsidP="00AE4910">
            <w:pPr>
              <w:jc w:val="center"/>
            </w:pPr>
            <w:r w:rsidRPr="003605AA">
              <w:t>Phase II-</w:t>
            </w:r>
          </w:p>
        </w:tc>
        <w:tc>
          <w:tcPr>
            <w:tcW w:w="1296" w:type="dxa"/>
            <w:noWrap/>
            <w:hideMark/>
          </w:tcPr>
          <w:p w14:paraId="5381E130" w14:textId="77777777" w:rsidR="00AE4910" w:rsidRPr="003605AA" w:rsidRDefault="00AE4910" w:rsidP="00AE4910">
            <w:pPr>
              <w:jc w:val="center"/>
            </w:pPr>
            <w:r w:rsidRPr="003605AA">
              <w:t>Phase III</w:t>
            </w:r>
          </w:p>
        </w:tc>
        <w:tc>
          <w:tcPr>
            <w:tcW w:w="1296" w:type="dxa"/>
            <w:noWrap/>
            <w:hideMark/>
          </w:tcPr>
          <w:p w14:paraId="38A8D624" w14:textId="77777777" w:rsidR="00AE4910" w:rsidRPr="003605AA" w:rsidRDefault="00AE4910" w:rsidP="00AE4910">
            <w:pPr>
              <w:jc w:val="center"/>
            </w:pPr>
            <w:r w:rsidRPr="003605AA">
              <w:t>Total</w:t>
            </w:r>
          </w:p>
        </w:tc>
      </w:tr>
      <w:tr w:rsidR="00AE4910" w:rsidRPr="003605AA" w14:paraId="59B6CB35" w14:textId="77777777" w:rsidTr="00AE4910">
        <w:trPr>
          <w:trHeight w:val="290"/>
        </w:trPr>
        <w:tc>
          <w:tcPr>
            <w:tcW w:w="1720" w:type="dxa"/>
            <w:noWrap/>
            <w:hideMark/>
          </w:tcPr>
          <w:p w14:paraId="6F11BD64" w14:textId="77777777" w:rsidR="00AE4910" w:rsidRPr="003605AA" w:rsidRDefault="00AE4910" w:rsidP="00AE4910">
            <w:r w:rsidRPr="003605AA">
              <w:t>Common Area</w:t>
            </w:r>
          </w:p>
        </w:tc>
        <w:tc>
          <w:tcPr>
            <w:tcW w:w="1296" w:type="dxa"/>
            <w:noWrap/>
            <w:hideMark/>
          </w:tcPr>
          <w:p w14:paraId="169B9280" w14:textId="77777777" w:rsidR="00AE4910" w:rsidRPr="003605AA" w:rsidRDefault="00AE4910" w:rsidP="00AE4910">
            <w:pPr>
              <w:jc w:val="center"/>
            </w:pPr>
            <w:r w:rsidRPr="003605AA">
              <w:t>10</w:t>
            </w:r>
          </w:p>
        </w:tc>
        <w:tc>
          <w:tcPr>
            <w:tcW w:w="1296" w:type="dxa"/>
            <w:noWrap/>
            <w:hideMark/>
          </w:tcPr>
          <w:p w14:paraId="69500500" w14:textId="77777777" w:rsidR="00AE4910" w:rsidRPr="003605AA" w:rsidRDefault="00AE4910" w:rsidP="00AE4910">
            <w:pPr>
              <w:jc w:val="center"/>
            </w:pPr>
            <w:r w:rsidRPr="003605AA">
              <w:t>25.7</w:t>
            </w:r>
          </w:p>
        </w:tc>
        <w:tc>
          <w:tcPr>
            <w:tcW w:w="1296" w:type="dxa"/>
            <w:noWrap/>
            <w:hideMark/>
          </w:tcPr>
          <w:p w14:paraId="3DDCBC4C" w14:textId="77777777" w:rsidR="00AE4910" w:rsidRPr="003605AA" w:rsidRDefault="00AE4910" w:rsidP="00AE4910">
            <w:pPr>
              <w:jc w:val="center"/>
            </w:pPr>
          </w:p>
        </w:tc>
        <w:tc>
          <w:tcPr>
            <w:tcW w:w="1296" w:type="dxa"/>
            <w:noWrap/>
            <w:hideMark/>
          </w:tcPr>
          <w:p w14:paraId="58308DA5" w14:textId="77777777" w:rsidR="00AE4910" w:rsidRPr="003605AA" w:rsidRDefault="00AE4910" w:rsidP="00AE4910">
            <w:pPr>
              <w:jc w:val="center"/>
            </w:pPr>
            <w:r w:rsidRPr="003605AA">
              <w:t>35.7</w:t>
            </w:r>
          </w:p>
        </w:tc>
      </w:tr>
      <w:tr w:rsidR="00AE4910" w:rsidRPr="003605AA" w14:paraId="2043C489" w14:textId="77777777" w:rsidTr="00AE4910">
        <w:trPr>
          <w:trHeight w:val="290"/>
        </w:trPr>
        <w:tc>
          <w:tcPr>
            <w:tcW w:w="1720" w:type="dxa"/>
            <w:noWrap/>
            <w:hideMark/>
          </w:tcPr>
          <w:p w14:paraId="549E890B" w14:textId="77777777" w:rsidR="00AE4910" w:rsidRPr="003605AA" w:rsidRDefault="00AE4910" w:rsidP="00AE4910">
            <w:r w:rsidRPr="003605AA">
              <w:t>Nakoma</w:t>
            </w:r>
          </w:p>
        </w:tc>
        <w:tc>
          <w:tcPr>
            <w:tcW w:w="1296" w:type="dxa"/>
            <w:noWrap/>
            <w:hideMark/>
          </w:tcPr>
          <w:p w14:paraId="60FC4E33" w14:textId="77777777" w:rsidR="00AE4910" w:rsidRPr="003605AA" w:rsidRDefault="00AE4910" w:rsidP="00AE4910">
            <w:pPr>
              <w:jc w:val="center"/>
            </w:pPr>
            <w:r w:rsidRPr="003605AA">
              <w:t>6</w:t>
            </w:r>
          </w:p>
        </w:tc>
        <w:tc>
          <w:tcPr>
            <w:tcW w:w="1296" w:type="dxa"/>
            <w:noWrap/>
            <w:hideMark/>
          </w:tcPr>
          <w:p w14:paraId="4A50E73F" w14:textId="77777777" w:rsidR="00AE4910" w:rsidRPr="003605AA" w:rsidRDefault="00AE4910" w:rsidP="00AE4910">
            <w:pPr>
              <w:jc w:val="center"/>
            </w:pPr>
            <w:r w:rsidRPr="003605AA">
              <w:t>16.5</w:t>
            </w:r>
          </w:p>
        </w:tc>
        <w:tc>
          <w:tcPr>
            <w:tcW w:w="1296" w:type="dxa"/>
            <w:noWrap/>
            <w:hideMark/>
          </w:tcPr>
          <w:p w14:paraId="1CC44B3C" w14:textId="77777777" w:rsidR="00AE4910" w:rsidRPr="003605AA" w:rsidRDefault="00AE4910" w:rsidP="00AE4910">
            <w:pPr>
              <w:jc w:val="center"/>
            </w:pPr>
          </w:p>
        </w:tc>
        <w:tc>
          <w:tcPr>
            <w:tcW w:w="1296" w:type="dxa"/>
            <w:noWrap/>
            <w:hideMark/>
          </w:tcPr>
          <w:p w14:paraId="3186ED20" w14:textId="77777777" w:rsidR="00AE4910" w:rsidRPr="003605AA" w:rsidRDefault="00AE4910" w:rsidP="00AE4910">
            <w:pPr>
              <w:jc w:val="center"/>
            </w:pPr>
            <w:r w:rsidRPr="003605AA">
              <w:t>22.5</w:t>
            </w:r>
          </w:p>
        </w:tc>
      </w:tr>
      <w:tr w:rsidR="00AE4910" w:rsidRPr="003605AA" w14:paraId="184FCA77" w14:textId="77777777" w:rsidTr="00AE4910">
        <w:trPr>
          <w:trHeight w:val="290"/>
        </w:trPr>
        <w:tc>
          <w:tcPr>
            <w:tcW w:w="1720" w:type="dxa"/>
            <w:noWrap/>
            <w:hideMark/>
          </w:tcPr>
          <w:p w14:paraId="62D7826D" w14:textId="77777777" w:rsidR="00AE4910" w:rsidRPr="003605AA" w:rsidRDefault="00AE4910" w:rsidP="00AE4910">
            <w:r w:rsidRPr="003605AA">
              <w:t>Private</w:t>
            </w:r>
          </w:p>
        </w:tc>
        <w:tc>
          <w:tcPr>
            <w:tcW w:w="1296" w:type="dxa"/>
            <w:noWrap/>
            <w:hideMark/>
          </w:tcPr>
          <w:p w14:paraId="00B37475" w14:textId="77777777" w:rsidR="00AE4910" w:rsidRPr="003605AA" w:rsidRDefault="00AE4910" w:rsidP="00AE4910">
            <w:pPr>
              <w:jc w:val="center"/>
            </w:pPr>
          </w:p>
        </w:tc>
        <w:tc>
          <w:tcPr>
            <w:tcW w:w="1296" w:type="dxa"/>
            <w:noWrap/>
            <w:hideMark/>
          </w:tcPr>
          <w:p w14:paraId="7F874C58" w14:textId="77777777" w:rsidR="00AE4910" w:rsidRPr="003605AA" w:rsidRDefault="00AE4910" w:rsidP="00AE4910">
            <w:pPr>
              <w:jc w:val="center"/>
            </w:pPr>
            <w:r w:rsidRPr="003605AA">
              <w:t>6.8</w:t>
            </w:r>
          </w:p>
        </w:tc>
        <w:tc>
          <w:tcPr>
            <w:tcW w:w="1296" w:type="dxa"/>
            <w:noWrap/>
            <w:hideMark/>
          </w:tcPr>
          <w:p w14:paraId="0488D3BE" w14:textId="77777777" w:rsidR="00AE4910" w:rsidRPr="003605AA" w:rsidRDefault="00AE4910" w:rsidP="00AE4910">
            <w:pPr>
              <w:jc w:val="center"/>
            </w:pPr>
            <w:r w:rsidRPr="003605AA">
              <w:t>13.2</w:t>
            </w:r>
          </w:p>
        </w:tc>
        <w:tc>
          <w:tcPr>
            <w:tcW w:w="1296" w:type="dxa"/>
            <w:noWrap/>
            <w:hideMark/>
          </w:tcPr>
          <w:p w14:paraId="102FE423" w14:textId="77777777" w:rsidR="00AE4910" w:rsidRPr="003605AA" w:rsidRDefault="00AE4910" w:rsidP="00AE4910">
            <w:pPr>
              <w:jc w:val="center"/>
            </w:pPr>
            <w:r w:rsidRPr="003605AA">
              <w:t>20</w:t>
            </w:r>
          </w:p>
        </w:tc>
      </w:tr>
      <w:tr w:rsidR="00AE4910" w:rsidRPr="003605AA" w14:paraId="47B8FBD6" w14:textId="77777777" w:rsidTr="00AE4910">
        <w:trPr>
          <w:trHeight w:val="290"/>
        </w:trPr>
        <w:tc>
          <w:tcPr>
            <w:tcW w:w="1720" w:type="dxa"/>
            <w:noWrap/>
            <w:hideMark/>
          </w:tcPr>
          <w:p w14:paraId="4816F01A" w14:textId="77777777" w:rsidR="00AE4910" w:rsidRPr="003605AA" w:rsidRDefault="00AE4910" w:rsidP="00AE4910">
            <w:r w:rsidRPr="003605AA">
              <w:t>Firebreak</w:t>
            </w:r>
          </w:p>
        </w:tc>
        <w:tc>
          <w:tcPr>
            <w:tcW w:w="1296" w:type="dxa"/>
            <w:noWrap/>
            <w:hideMark/>
          </w:tcPr>
          <w:p w14:paraId="3305EA1E" w14:textId="77777777" w:rsidR="00AE4910" w:rsidRPr="003605AA" w:rsidRDefault="00AE4910" w:rsidP="00AE4910">
            <w:pPr>
              <w:jc w:val="center"/>
            </w:pPr>
          </w:p>
        </w:tc>
        <w:tc>
          <w:tcPr>
            <w:tcW w:w="1296" w:type="dxa"/>
            <w:noWrap/>
            <w:hideMark/>
          </w:tcPr>
          <w:p w14:paraId="04F33E1E" w14:textId="77777777" w:rsidR="00AE4910" w:rsidRPr="003605AA" w:rsidRDefault="00AE4910" w:rsidP="00AE4910">
            <w:pPr>
              <w:jc w:val="center"/>
            </w:pPr>
          </w:p>
        </w:tc>
        <w:tc>
          <w:tcPr>
            <w:tcW w:w="1296" w:type="dxa"/>
            <w:noWrap/>
            <w:hideMark/>
          </w:tcPr>
          <w:p w14:paraId="02A2C7BD" w14:textId="77777777" w:rsidR="00AE4910" w:rsidRPr="003605AA" w:rsidRDefault="00AE4910" w:rsidP="00AE4910">
            <w:pPr>
              <w:jc w:val="center"/>
            </w:pPr>
            <w:r w:rsidRPr="003605AA">
              <w:t>22</w:t>
            </w:r>
          </w:p>
        </w:tc>
        <w:tc>
          <w:tcPr>
            <w:tcW w:w="1296" w:type="dxa"/>
            <w:noWrap/>
            <w:hideMark/>
          </w:tcPr>
          <w:p w14:paraId="39D55209" w14:textId="77777777" w:rsidR="00AE4910" w:rsidRPr="003605AA" w:rsidRDefault="00AE4910" w:rsidP="00AE4910">
            <w:pPr>
              <w:jc w:val="center"/>
            </w:pPr>
            <w:r w:rsidRPr="003605AA">
              <w:t>22</w:t>
            </w:r>
          </w:p>
        </w:tc>
      </w:tr>
      <w:tr w:rsidR="00AE4910" w:rsidRPr="003605AA" w14:paraId="7057F9A1" w14:textId="77777777" w:rsidTr="00AE4910">
        <w:trPr>
          <w:trHeight w:val="290"/>
        </w:trPr>
        <w:tc>
          <w:tcPr>
            <w:tcW w:w="1720" w:type="dxa"/>
            <w:noWrap/>
            <w:hideMark/>
          </w:tcPr>
          <w:p w14:paraId="1EA2260C" w14:textId="77777777" w:rsidR="00AE4910" w:rsidRPr="003605AA" w:rsidRDefault="00AE4910" w:rsidP="00AE4910"/>
        </w:tc>
        <w:tc>
          <w:tcPr>
            <w:tcW w:w="1296" w:type="dxa"/>
            <w:noWrap/>
            <w:hideMark/>
          </w:tcPr>
          <w:p w14:paraId="4D9A6403" w14:textId="77777777" w:rsidR="00AE4910" w:rsidRPr="003605AA" w:rsidRDefault="00AE4910" w:rsidP="00AE4910">
            <w:pPr>
              <w:jc w:val="center"/>
            </w:pPr>
          </w:p>
        </w:tc>
        <w:tc>
          <w:tcPr>
            <w:tcW w:w="1296" w:type="dxa"/>
            <w:noWrap/>
            <w:hideMark/>
          </w:tcPr>
          <w:p w14:paraId="36FBB622" w14:textId="77777777" w:rsidR="00AE4910" w:rsidRPr="003605AA" w:rsidRDefault="00AE4910" w:rsidP="00AE4910">
            <w:pPr>
              <w:jc w:val="center"/>
            </w:pPr>
          </w:p>
        </w:tc>
        <w:tc>
          <w:tcPr>
            <w:tcW w:w="1296" w:type="dxa"/>
            <w:noWrap/>
            <w:hideMark/>
          </w:tcPr>
          <w:p w14:paraId="71871788" w14:textId="77777777" w:rsidR="00AE4910" w:rsidRPr="003605AA" w:rsidRDefault="00AE4910" w:rsidP="00AE4910">
            <w:pPr>
              <w:jc w:val="center"/>
            </w:pPr>
          </w:p>
        </w:tc>
        <w:tc>
          <w:tcPr>
            <w:tcW w:w="1296" w:type="dxa"/>
            <w:noWrap/>
            <w:hideMark/>
          </w:tcPr>
          <w:p w14:paraId="669EACCC" w14:textId="77777777" w:rsidR="00AE4910" w:rsidRPr="003605AA" w:rsidRDefault="00AE4910" w:rsidP="00AE4910">
            <w:pPr>
              <w:jc w:val="center"/>
            </w:pPr>
            <w:r w:rsidRPr="003605AA">
              <w:t>100.2</w:t>
            </w:r>
          </w:p>
        </w:tc>
      </w:tr>
    </w:tbl>
    <w:p w14:paraId="652B3ECA" w14:textId="77777777" w:rsidR="00AE4910" w:rsidRDefault="00AE4910" w:rsidP="00AE4910">
      <w:pPr>
        <w:rPr>
          <w:b/>
          <w:bCs/>
        </w:rPr>
      </w:pPr>
      <w:r>
        <w:rPr>
          <w:b/>
          <w:bCs/>
        </w:rPr>
        <w:t>ACRES TREATED</w:t>
      </w:r>
    </w:p>
    <w:p w14:paraId="504F5386" w14:textId="77777777" w:rsidR="00AE4910" w:rsidRPr="00D2759F" w:rsidRDefault="00AE4910" w:rsidP="00AE4910"/>
    <w:p w14:paraId="60431B88" w14:textId="77777777" w:rsidR="00A77DE9" w:rsidRDefault="00A77DE9" w:rsidP="00A77DE9">
      <w:pPr>
        <w:pStyle w:val="ListParagraph"/>
        <w:spacing w:after="0"/>
        <w:ind w:left="0"/>
        <w:contextualSpacing w:val="0"/>
      </w:pPr>
    </w:p>
    <w:p w14:paraId="43401E31" w14:textId="57633A8A" w:rsidR="00853FB8" w:rsidRDefault="00853FB8" w:rsidP="00A77DE9">
      <w:pPr>
        <w:pStyle w:val="ListParagraph"/>
        <w:spacing w:after="0"/>
        <w:ind w:left="0"/>
        <w:contextualSpacing w:val="0"/>
      </w:pPr>
    </w:p>
    <w:p w14:paraId="14C9A3B7" w14:textId="2263992E" w:rsidR="003669D0" w:rsidRDefault="003669D0" w:rsidP="00853FB8">
      <w:pPr>
        <w:pStyle w:val="ListParagraph"/>
        <w:spacing w:after="0"/>
        <w:contextualSpacing w:val="0"/>
      </w:pPr>
    </w:p>
    <w:p w14:paraId="61F83C05" w14:textId="7E6C689A" w:rsidR="00A77DE9" w:rsidRDefault="00A77DE9" w:rsidP="00853FB8">
      <w:pPr>
        <w:pStyle w:val="ListParagraph"/>
        <w:spacing w:after="0"/>
        <w:contextualSpacing w:val="0"/>
      </w:pPr>
    </w:p>
    <w:p w14:paraId="6C525DE9" w14:textId="2EE9A5B0" w:rsidR="00A77DE9" w:rsidRDefault="00A77DE9" w:rsidP="00853FB8">
      <w:pPr>
        <w:pStyle w:val="ListParagraph"/>
        <w:spacing w:after="0"/>
        <w:contextualSpacing w:val="0"/>
      </w:pPr>
    </w:p>
    <w:p w14:paraId="54861618" w14:textId="370A89A9" w:rsidR="00A77DE9" w:rsidRDefault="00A77DE9" w:rsidP="00853FB8">
      <w:pPr>
        <w:pStyle w:val="ListParagraph"/>
        <w:spacing w:after="0"/>
        <w:contextualSpacing w:val="0"/>
      </w:pPr>
    </w:p>
    <w:tbl>
      <w:tblPr>
        <w:tblStyle w:val="TableGrid"/>
        <w:tblpPr w:leftFromText="180" w:rightFromText="180" w:vertAnchor="page" w:horzAnchor="margin" w:tblpY="2471"/>
        <w:tblW w:w="9914" w:type="dxa"/>
        <w:tblLook w:val="04A0" w:firstRow="1" w:lastRow="0" w:firstColumn="1" w:lastColumn="0" w:noHBand="0" w:noVBand="1"/>
      </w:tblPr>
      <w:tblGrid>
        <w:gridCol w:w="1165"/>
        <w:gridCol w:w="1440"/>
        <w:gridCol w:w="1890"/>
        <w:gridCol w:w="1710"/>
        <w:gridCol w:w="1890"/>
        <w:gridCol w:w="289"/>
        <w:gridCol w:w="1530"/>
      </w:tblGrid>
      <w:tr w:rsidR="00A77DE9" w:rsidRPr="00D2759F" w14:paraId="2C54F207" w14:textId="77777777" w:rsidTr="00A77DE9">
        <w:trPr>
          <w:trHeight w:val="290"/>
        </w:trPr>
        <w:tc>
          <w:tcPr>
            <w:tcW w:w="1165" w:type="dxa"/>
            <w:noWrap/>
            <w:hideMark/>
          </w:tcPr>
          <w:p w14:paraId="05BEA9F5" w14:textId="77777777" w:rsidR="00A77DE9" w:rsidRPr="00D2759F" w:rsidRDefault="00A77DE9" w:rsidP="00A77DE9">
            <w:pPr>
              <w:spacing w:after="160" w:line="259" w:lineRule="auto"/>
              <w:rPr>
                <w:b/>
                <w:bCs/>
              </w:rPr>
            </w:pPr>
          </w:p>
        </w:tc>
        <w:tc>
          <w:tcPr>
            <w:tcW w:w="1440" w:type="dxa"/>
            <w:noWrap/>
            <w:hideMark/>
          </w:tcPr>
          <w:p w14:paraId="7E8AD35F" w14:textId="77777777" w:rsidR="00A77DE9" w:rsidRPr="00D2759F" w:rsidRDefault="00A77DE9" w:rsidP="00A77DE9">
            <w:pPr>
              <w:spacing w:after="160" w:line="259" w:lineRule="auto"/>
              <w:rPr>
                <w:b/>
                <w:bCs/>
              </w:rPr>
            </w:pPr>
            <w:r w:rsidRPr="00D2759F">
              <w:rPr>
                <w:b/>
                <w:bCs/>
              </w:rPr>
              <w:t>Phase I</w:t>
            </w:r>
          </w:p>
        </w:tc>
        <w:tc>
          <w:tcPr>
            <w:tcW w:w="1890" w:type="dxa"/>
            <w:noWrap/>
            <w:hideMark/>
          </w:tcPr>
          <w:p w14:paraId="2EDBECA2" w14:textId="77777777" w:rsidR="00A77DE9" w:rsidRPr="00D2759F" w:rsidRDefault="00A77DE9" w:rsidP="00A77DE9">
            <w:pPr>
              <w:spacing w:after="160" w:line="259" w:lineRule="auto"/>
              <w:rPr>
                <w:b/>
                <w:bCs/>
              </w:rPr>
            </w:pPr>
            <w:r w:rsidRPr="00D2759F">
              <w:rPr>
                <w:b/>
                <w:bCs/>
              </w:rPr>
              <w:t>Phase II-A</w:t>
            </w:r>
          </w:p>
        </w:tc>
        <w:tc>
          <w:tcPr>
            <w:tcW w:w="1710" w:type="dxa"/>
            <w:noWrap/>
            <w:hideMark/>
          </w:tcPr>
          <w:p w14:paraId="4611C5EA" w14:textId="77777777" w:rsidR="00A77DE9" w:rsidRPr="00D2759F" w:rsidRDefault="00A77DE9" w:rsidP="00A77DE9">
            <w:pPr>
              <w:spacing w:after="160" w:line="259" w:lineRule="auto"/>
              <w:rPr>
                <w:b/>
                <w:bCs/>
              </w:rPr>
            </w:pPr>
            <w:r w:rsidRPr="00D2759F">
              <w:rPr>
                <w:b/>
                <w:bCs/>
              </w:rPr>
              <w:t>Phase II - B</w:t>
            </w:r>
          </w:p>
        </w:tc>
        <w:tc>
          <w:tcPr>
            <w:tcW w:w="1890" w:type="dxa"/>
            <w:noWrap/>
            <w:hideMark/>
          </w:tcPr>
          <w:p w14:paraId="32E26B4A" w14:textId="77777777" w:rsidR="00A77DE9" w:rsidRPr="00D2759F" w:rsidRDefault="00A77DE9" w:rsidP="00A77DE9">
            <w:pPr>
              <w:spacing w:after="160" w:line="259" w:lineRule="auto"/>
              <w:rPr>
                <w:b/>
                <w:bCs/>
              </w:rPr>
            </w:pPr>
            <w:r w:rsidRPr="00D2759F">
              <w:rPr>
                <w:b/>
                <w:bCs/>
              </w:rPr>
              <w:t>Phase III</w:t>
            </w:r>
          </w:p>
        </w:tc>
        <w:tc>
          <w:tcPr>
            <w:tcW w:w="289" w:type="dxa"/>
            <w:noWrap/>
            <w:hideMark/>
          </w:tcPr>
          <w:p w14:paraId="333AC216" w14:textId="77777777" w:rsidR="00A77DE9" w:rsidRPr="00D2759F" w:rsidRDefault="00A77DE9" w:rsidP="00A77DE9">
            <w:pPr>
              <w:spacing w:after="160" w:line="259" w:lineRule="auto"/>
              <w:rPr>
                <w:b/>
                <w:bCs/>
              </w:rPr>
            </w:pPr>
          </w:p>
        </w:tc>
        <w:tc>
          <w:tcPr>
            <w:tcW w:w="1530" w:type="dxa"/>
            <w:noWrap/>
            <w:hideMark/>
          </w:tcPr>
          <w:p w14:paraId="7034956A" w14:textId="77777777" w:rsidR="00A77DE9" w:rsidRPr="00D2759F" w:rsidRDefault="00A77DE9" w:rsidP="00A77DE9">
            <w:pPr>
              <w:spacing w:after="160" w:line="259" w:lineRule="auto"/>
              <w:rPr>
                <w:b/>
                <w:bCs/>
              </w:rPr>
            </w:pPr>
            <w:r w:rsidRPr="00D2759F">
              <w:rPr>
                <w:b/>
                <w:bCs/>
              </w:rPr>
              <w:t>Totals</w:t>
            </w:r>
          </w:p>
        </w:tc>
      </w:tr>
      <w:tr w:rsidR="00A77DE9" w:rsidRPr="00D2759F" w14:paraId="34557E86" w14:textId="77777777" w:rsidTr="00A77DE9">
        <w:trPr>
          <w:trHeight w:val="290"/>
        </w:trPr>
        <w:tc>
          <w:tcPr>
            <w:tcW w:w="1165" w:type="dxa"/>
            <w:noWrap/>
            <w:hideMark/>
          </w:tcPr>
          <w:p w14:paraId="51D5CD62" w14:textId="77777777" w:rsidR="00A77DE9" w:rsidRPr="00D2759F" w:rsidRDefault="00A77DE9" w:rsidP="00A77DE9">
            <w:pPr>
              <w:spacing w:after="160" w:line="259" w:lineRule="auto"/>
            </w:pPr>
            <w:r w:rsidRPr="00D2759F">
              <w:t>CSD Cost</w:t>
            </w:r>
          </w:p>
        </w:tc>
        <w:tc>
          <w:tcPr>
            <w:tcW w:w="1440" w:type="dxa"/>
            <w:noWrap/>
            <w:hideMark/>
          </w:tcPr>
          <w:p w14:paraId="12351673" w14:textId="77777777" w:rsidR="00A77DE9" w:rsidRPr="00D2759F" w:rsidRDefault="00A77DE9" w:rsidP="00A77DE9">
            <w:pPr>
              <w:spacing w:after="160" w:line="259" w:lineRule="auto"/>
            </w:pPr>
            <w:r w:rsidRPr="00D2759F">
              <w:t xml:space="preserve"> $          9,465 </w:t>
            </w:r>
          </w:p>
        </w:tc>
        <w:tc>
          <w:tcPr>
            <w:tcW w:w="1890" w:type="dxa"/>
            <w:noWrap/>
            <w:hideMark/>
          </w:tcPr>
          <w:p w14:paraId="19AAF832" w14:textId="77777777" w:rsidR="00A77DE9" w:rsidRPr="00D2759F" w:rsidRDefault="00A77DE9" w:rsidP="00A77DE9">
            <w:pPr>
              <w:spacing w:after="160" w:line="259" w:lineRule="auto"/>
            </w:pPr>
            <w:r w:rsidRPr="00D2759F">
              <w:t xml:space="preserve"> $        21,161 </w:t>
            </w:r>
          </w:p>
        </w:tc>
        <w:tc>
          <w:tcPr>
            <w:tcW w:w="1710" w:type="dxa"/>
            <w:noWrap/>
            <w:hideMark/>
          </w:tcPr>
          <w:p w14:paraId="4F005567" w14:textId="77777777" w:rsidR="00A77DE9" w:rsidRPr="00D2759F" w:rsidRDefault="00A77DE9" w:rsidP="00A77DE9">
            <w:pPr>
              <w:spacing w:after="160" w:line="259" w:lineRule="auto"/>
            </w:pPr>
            <w:r w:rsidRPr="00D2759F">
              <w:t xml:space="preserve"> $             250 </w:t>
            </w:r>
          </w:p>
        </w:tc>
        <w:tc>
          <w:tcPr>
            <w:tcW w:w="1890" w:type="dxa"/>
            <w:noWrap/>
            <w:hideMark/>
          </w:tcPr>
          <w:p w14:paraId="5AD935F2" w14:textId="77777777" w:rsidR="00A77DE9" w:rsidRPr="00D2759F" w:rsidRDefault="00A77DE9" w:rsidP="00A77DE9">
            <w:pPr>
              <w:spacing w:after="160" w:line="259" w:lineRule="auto"/>
            </w:pPr>
            <w:r w:rsidRPr="00D2759F">
              <w:t xml:space="preserve"> $        21,003 </w:t>
            </w:r>
          </w:p>
        </w:tc>
        <w:tc>
          <w:tcPr>
            <w:tcW w:w="289" w:type="dxa"/>
            <w:noWrap/>
            <w:hideMark/>
          </w:tcPr>
          <w:p w14:paraId="59F76379" w14:textId="77777777" w:rsidR="00A77DE9" w:rsidRPr="00D2759F" w:rsidRDefault="00A77DE9" w:rsidP="00A77DE9">
            <w:pPr>
              <w:spacing w:after="160" w:line="259" w:lineRule="auto"/>
            </w:pPr>
          </w:p>
        </w:tc>
        <w:tc>
          <w:tcPr>
            <w:tcW w:w="1530" w:type="dxa"/>
            <w:noWrap/>
            <w:hideMark/>
          </w:tcPr>
          <w:p w14:paraId="02AFFBA4" w14:textId="77777777" w:rsidR="00A77DE9" w:rsidRPr="00D2759F" w:rsidRDefault="00A77DE9" w:rsidP="00A77DE9">
            <w:pPr>
              <w:spacing w:after="160" w:line="259" w:lineRule="auto"/>
            </w:pPr>
            <w:r w:rsidRPr="00D2759F">
              <w:t xml:space="preserve"> $      51,879</w:t>
            </w:r>
            <w:r>
              <w:t>*</w:t>
            </w:r>
            <w:r w:rsidRPr="00D2759F">
              <w:t xml:space="preserve"> </w:t>
            </w:r>
          </w:p>
        </w:tc>
      </w:tr>
      <w:tr w:rsidR="00A77DE9" w:rsidRPr="00D2759F" w14:paraId="0CDF7E18" w14:textId="77777777" w:rsidTr="00A77DE9">
        <w:trPr>
          <w:trHeight w:val="290"/>
        </w:trPr>
        <w:tc>
          <w:tcPr>
            <w:tcW w:w="1165" w:type="dxa"/>
            <w:noWrap/>
            <w:hideMark/>
          </w:tcPr>
          <w:p w14:paraId="4EE39A25" w14:textId="77777777" w:rsidR="00A77DE9" w:rsidRPr="00D2759F" w:rsidRDefault="00A77DE9" w:rsidP="00A77DE9">
            <w:pPr>
              <w:spacing w:after="160" w:line="259" w:lineRule="auto"/>
            </w:pPr>
            <w:r w:rsidRPr="00D2759F">
              <w:t>HOA Cost</w:t>
            </w:r>
          </w:p>
        </w:tc>
        <w:tc>
          <w:tcPr>
            <w:tcW w:w="1440" w:type="dxa"/>
            <w:noWrap/>
            <w:hideMark/>
          </w:tcPr>
          <w:p w14:paraId="0C9D6884" w14:textId="77777777" w:rsidR="00A77DE9" w:rsidRPr="00D2759F" w:rsidRDefault="00A77DE9" w:rsidP="00A77DE9">
            <w:pPr>
              <w:spacing w:after="160" w:line="259" w:lineRule="auto"/>
            </w:pPr>
            <w:r w:rsidRPr="00D2759F">
              <w:t xml:space="preserve"> $          9,465 </w:t>
            </w:r>
          </w:p>
        </w:tc>
        <w:tc>
          <w:tcPr>
            <w:tcW w:w="1890" w:type="dxa"/>
            <w:noWrap/>
            <w:hideMark/>
          </w:tcPr>
          <w:p w14:paraId="0DBF5916" w14:textId="77777777" w:rsidR="00A77DE9" w:rsidRPr="00D2759F" w:rsidRDefault="00A77DE9" w:rsidP="00A77DE9">
            <w:pPr>
              <w:spacing w:after="160" w:line="259" w:lineRule="auto"/>
            </w:pPr>
            <w:r w:rsidRPr="00D2759F">
              <w:t xml:space="preserve"> $        21,161 </w:t>
            </w:r>
          </w:p>
        </w:tc>
        <w:tc>
          <w:tcPr>
            <w:tcW w:w="1710" w:type="dxa"/>
            <w:noWrap/>
            <w:hideMark/>
          </w:tcPr>
          <w:p w14:paraId="00C95F43" w14:textId="77777777" w:rsidR="00A77DE9" w:rsidRPr="00D2759F" w:rsidRDefault="00A77DE9" w:rsidP="00A77DE9">
            <w:pPr>
              <w:spacing w:after="160" w:line="259" w:lineRule="auto"/>
            </w:pPr>
            <w:r w:rsidRPr="00D2759F">
              <w:t xml:space="preserve"> $             250 </w:t>
            </w:r>
          </w:p>
        </w:tc>
        <w:tc>
          <w:tcPr>
            <w:tcW w:w="1890" w:type="dxa"/>
            <w:noWrap/>
            <w:hideMark/>
          </w:tcPr>
          <w:p w14:paraId="48583EA4" w14:textId="77777777" w:rsidR="00A77DE9" w:rsidRPr="00D2759F" w:rsidRDefault="00A77DE9" w:rsidP="00A77DE9">
            <w:pPr>
              <w:spacing w:after="160" w:line="259" w:lineRule="auto"/>
            </w:pPr>
            <w:r w:rsidRPr="00D2759F">
              <w:t xml:space="preserve"> $                -   </w:t>
            </w:r>
          </w:p>
        </w:tc>
        <w:tc>
          <w:tcPr>
            <w:tcW w:w="289" w:type="dxa"/>
            <w:noWrap/>
            <w:hideMark/>
          </w:tcPr>
          <w:p w14:paraId="7C680759" w14:textId="77777777" w:rsidR="00A77DE9" w:rsidRPr="00D2759F" w:rsidRDefault="00A77DE9" w:rsidP="00A77DE9">
            <w:pPr>
              <w:spacing w:after="160" w:line="259" w:lineRule="auto"/>
            </w:pPr>
          </w:p>
        </w:tc>
        <w:tc>
          <w:tcPr>
            <w:tcW w:w="1530" w:type="dxa"/>
            <w:noWrap/>
            <w:hideMark/>
          </w:tcPr>
          <w:p w14:paraId="3DEECA9B" w14:textId="77777777" w:rsidR="00A77DE9" w:rsidRPr="00D2759F" w:rsidRDefault="00A77DE9" w:rsidP="00A77DE9">
            <w:pPr>
              <w:spacing w:after="160" w:line="259" w:lineRule="auto"/>
            </w:pPr>
            <w:r w:rsidRPr="00D2759F">
              <w:t xml:space="preserve"> $      30,876 </w:t>
            </w:r>
          </w:p>
        </w:tc>
      </w:tr>
      <w:tr w:rsidR="00A77DE9" w:rsidRPr="00D2759F" w14:paraId="24F8632C" w14:textId="77777777" w:rsidTr="00A77DE9">
        <w:trPr>
          <w:trHeight w:val="290"/>
        </w:trPr>
        <w:tc>
          <w:tcPr>
            <w:tcW w:w="1165" w:type="dxa"/>
            <w:noWrap/>
            <w:hideMark/>
          </w:tcPr>
          <w:p w14:paraId="74F513C4" w14:textId="77777777" w:rsidR="00A77DE9" w:rsidRPr="00D2759F" w:rsidRDefault="00A77DE9" w:rsidP="00A77DE9">
            <w:pPr>
              <w:spacing w:after="160" w:line="259" w:lineRule="auto"/>
            </w:pPr>
            <w:r w:rsidRPr="00D2759F">
              <w:t>Nakoma</w:t>
            </w:r>
          </w:p>
        </w:tc>
        <w:tc>
          <w:tcPr>
            <w:tcW w:w="1440" w:type="dxa"/>
            <w:noWrap/>
            <w:hideMark/>
          </w:tcPr>
          <w:p w14:paraId="7904371E" w14:textId="77777777" w:rsidR="00A77DE9" w:rsidRPr="00D2759F" w:rsidRDefault="00A77DE9" w:rsidP="00A77DE9">
            <w:pPr>
              <w:spacing w:after="160" w:line="259" w:lineRule="auto"/>
            </w:pPr>
            <w:r w:rsidRPr="00D2759F">
              <w:t xml:space="preserve"> $          6,500 </w:t>
            </w:r>
          </w:p>
        </w:tc>
        <w:tc>
          <w:tcPr>
            <w:tcW w:w="1890" w:type="dxa"/>
            <w:noWrap/>
            <w:hideMark/>
          </w:tcPr>
          <w:p w14:paraId="31C36FE9" w14:textId="77777777" w:rsidR="00A77DE9" w:rsidRPr="00D2759F" w:rsidRDefault="00A77DE9" w:rsidP="00A77DE9">
            <w:pPr>
              <w:spacing w:after="160" w:line="259" w:lineRule="auto"/>
            </w:pPr>
            <w:r w:rsidRPr="00D2759F">
              <w:t xml:space="preserve"> $          7,175 </w:t>
            </w:r>
          </w:p>
        </w:tc>
        <w:tc>
          <w:tcPr>
            <w:tcW w:w="1710" w:type="dxa"/>
            <w:noWrap/>
            <w:hideMark/>
          </w:tcPr>
          <w:p w14:paraId="31A91AC8" w14:textId="77777777" w:rsidR="00A77DE9" w:rsidRPr="00D2759F" w:rsidRDefault="00A77DE9" w:rsidP="00A77DE9">
            <w:pPr>
              <w:spacing w:after="160" w:line="259" w:lineRule="auto"/>
            </w:pPr>
            <w:r w:rsidRPr="00D2759F">
              <w:t xml:space="preserve"> $        12,125 </w:t>
            </w:r>
          </w:p>
        </w:tc>
        <w:tc>
          <w:tcPr>
            <w:tcW w:w="1890" w:type="dxa"/>
            <w:noWrap/>
            <w:hideMark/>
          </w:tcPr>
          <w:p w14:paraId="3F753C07" w14:textId="77777777" w:rsidR="00A77DE9" w:rsidRPr="00D2759F" w:rsidRDefault="00A77DE9" w:rsidP="00A77DE9">
            <w:pPr>
              <w:spacing w:after="160" w:line="259" w:lineRule="auto"/>
            </w:pPr>
          </w:p>
        </w:tc>
        <w:tc>
          <w:tcPr>
            <w:tcW w:w="289" w:type="dxa"/>
            <w:noWrap/>
            <w:hideMark/>
          </w:tcPr>
          <w:p w14:paraId="0F8CBC6D" w14:textId="77777777" w:rsidR="00A77DE9" w:rsidRPr="00D2759F" w:rsidRDefault="00A77DE9" w:rsidP="00A77DE9">
            <w:pPr>
              <w:spacing w:after="160" w:line="259" w:lineRule="auto"/>
            </w:pPr>
          </w:p>
        </w:tc>
        <w:tc>
          <w:tcPr>
            <w:tcW w:w="1530" w:type="dxa"/>
            <w:noWrap/>
            <w:hideMark/>
          </w:tcPr>
          <w:p w14:paraId="252559F2" w14:textId="77777777" w:rsidR="00A77DE9" w:rsidRPr="00D2759F" w:rsidRDefault="00A77DE9" w:rsidP="00A77DE9">
            <w:pPr>
              <w:spacing w:after="160" w:line="259" w:lineRule="auto"/>
            </w:pPr>
            <w:r w:rsidRPr="00D2759F">
              <w:t xml:space="preserve"> $      25,800 </w:t>
            </w:r>
          </w:p>
        </w:tc>
      </w:tr>
      <w:tr w:rsidR="00A77DE9" w:rsidRPr="00D2759F" w14:paraId="47BC11DB" w14:textId="77777777" w:rsidTr="00A77DE9">
        <w:trPr>
          <w:trHeight w:val="300"/>
        </w:trPr>
        <w:tc>
          <w:tcPr>
            <w:tcW w:w="1165" w:type="dxa"/>
            <w:noWrap/>
            <w:hideMark/>
          </w:tcPr>
          <w:p w14:paraId="680142AF" w14:textId="77777777" w:rsidR="00A77DE9" w:rsidRPr="00D2759F" w:rsidRDefault="00A77DE9" w:rsidP="00A77DE9">
            <w:pPr>
              <w:spacing w:after="160" w:line="259" w:lineRule="auto"/>
            </w:pPr>
            <w:r w:rsidRPr="00D2759F">
              <w:t>Private</w:t>
            </w:r>
          </w:p>
        </w:tc>
        <w:tc>
          <w:tcPr>
            <w:tcW w:w="1440" w:type="dxa"/>
            <w:noWrap/>
            <w:hideMark/>
          </w:tcPr>
          <w:p w14:paraId="13681A27" w14:textId="77777777" w:rsidR="00A77DE9" w:rsidRPr="00D2759F" w:rsidRDefault="00A77DE9" w:rsidP="00A77DE9">
            <w:pPr>
              <w:spacing w:after="160" w:line="259" w:lineRule="auto"/>
            </w:pPr>
            <w:r w:rsidRPr="00D2759F">
              <w:t xml:space="preserve"> $                -   </w:t>
            </w:r>
          </w:p>
        </w:tc>
        <w:tc>
          <w:tcPr>
            <w:tcW w:w="1890" w:type="dxa"/>
            <w:noWrap/>
            <w:hideMark/>
          </w:tcPr>
          <w:p w14:paraId="1BC01732" w14:textId="77777777" w:rsidR="00A77DE9" w:rsidRPr="00D2759F" w:rsidRDefault="00A77DE9" w:rsidP="00A77DE9">
            <w:pPr>
              <w:spacing w:after="160" w:line="259" w:lineRule="auto"/>
            </w:pPr>
            <w:r w:rsidRPr="00D2759F">
              <w:t xml:space="preserve"> $          2,850 </w:t>
            </w:r>
          </w:p>
        </w:tc>
        <w:tc>
          <w:tcPr>
            <w:tcW w:w="1710" w:type="dxa"/>
            <w:noWrap/>
            <w:hideMark/>
          </w:tcPr>
          <w:p w14:paraId="3346A884" w14:textId="77777777" w:rsidR="00A77DE9" w:rsidRPr="00D2759F" w:rsidRDefault="00A77DE9" w:rsidP="00A77DE9">
            <w:pPr>
              <w:spacing w:after="160" w:line="259" w:lineRule="auto"/>
            </w:pPr>
            <w:r w:rsidRPr="00D2759F">
              <w:t xml:space="preserve"> $             928 </w:t>
            </w:r>
          </w:p>
        </w:tc>
        <w:tc>
          <w:tcPr>
            <w:tcW w:w="1890" w:type="dxa"/>
            <w:noWrap/>
            <w:hideMark/>
          </w:tcPr>
          <w:p w14:paraId="38BB9124" w14:textId="77777777" w:rsidR="00A77DE9" w:rsidRPr="00D2759F" w:rsidRDefault="00A77DE9" w:rsidP="00A77DE9">
            <w:pPr>
              <w:spacing w:after="160" w:line="259" w:lineRule="auto"/>
            </w:pPr>
            <w:r w:rsidRPr="00D2759F">
              <w:t xml:space="preserve"> $        12,739 </w:t>
            </w:r>
          </w:p>
        </w:tc>
        <w:tc>
          <w:tcPr>
            <w:tcW w:w="289" w:type="dxa"/>
            <w:noWrap/>
            <w:hideMark/>
          </w:tcPr>
          <w:p w14:paraId="0EBBECF8" w14:textId="77777777" w:rsidR="00A77DE9" w:rsidRPr="00D2759F" w:rsidRDefault="00A77DE9" w:rsidP="00A77DE9">
            <w:pPr>
              <w:spacing w:after="160" w:line="259" w:lineRule="auto"/>
            </w:pPr>
          </w:p>
        </w:tc>
        <w:tc>
          <w:tcPr>
            <w:tcW w:w="1530" w:type="dxa"/>
            <w:noWrap/>
            <w:hideMark/>
          </w:tcPr>
          <w:p w14:paraId="5A7EA63B" w14:textId="77777777" w:rsidR="00A77DE9" w:rsidRPr="00D2759F" w:rsidRDefault="00A77DE9" w:rsidP="00A77DE9">
            <w:pPr>
              <w:spacing w:after="160" w:line="259" w:lineRule="auto"/>
            </w:pPr>
            <w:r w:rsidRPr="00D2759F">
              <w:t xml:space="preserve"> $      16,517 </w:t>
            </w:r>
          </w:p>
        </w:tc>
      </w:tr>
      <w:tr w:rsidR="00A77DE9" w:rsidRPr="00D2759F" w14:paraId="014A4D84" w14:textId="77777777" w:rsidTr="00A77DE9">
        <w:trPr>
          <w:trHeight w:val="300"/>
        </w:trPr>
        <w:tc>
          <w:tcPr>
            <w:tcW w:w="1165" w:type="dxa"/>
            <w:noWrap/>
            <w:hideMark/>
          </w:tcPr>
          <w:p w14:paraId="1505D208" w14:textId="77777777" w:rsidR="00A77DE9" w:rsidRPr="00D2759F" w:rsidRDefault="00A77DE9" w:rsidP="00A77DE9">
            <w:pPr>
              <w:spacing w:after="160" w:line="259" w:lineRule="auto"/>
            </w:pPr>
          </w:p>
        </w:tc>
        <w:tc>
          <w:tcPr>
            <w:tcW w:w="1440" w:type="dxa"/>
            <w:noWrap/>
            <w:hideMark/>
          </w:tcPr>
          <w:p w14:paraId="1B573DB9" w14:textId="77777777" w:rsidR="00A77DE9" w:rsidRPr="00D2759F" w:rsidRDefault="00A77DE9" w:rsidP="00A77DE9">
            <w:pPr>
              <w:spacing w:after="160" w:line="259" w:lineRule="auto"/>
            </w:pPr>
            <w:r w:rsidRPr="00D2759F">
              <w:t xml:space="preserve"> $        25,430 </w:t>
            </w:r>
          </w:p>
        </w:tc>
        <w:tc>
          <w:tcPr>
            <w:tcW w:w="1890" w:type="dxa"/>
            <w:noWrap/>
            <w:hideMark/>
          </w:tcPr>
          <w:p w14:paraId="7CE79A40" w14:textId="77777777" w:rsidR="00A77DE9" w:rsidRPr="00D2759F" w:rsidRDefault="00A77DE9" w:rsidP="00A77DE9">
            <w:pPr>
              <w:spacing w:after="160" w:line="259" w:lineRule="auto"/>
            </w:pPr>
            <w:r w:rsidRPr="00D2759F">
              <w:t xml:space="preserve"> $        52,347 </w:t>
            </w:r>
          </w:p>
        </w:tc>
        <w:tc>
          <w:tcPr>
            <w:tcW w:w="1710" w:type="dxa"/>
            <w:noWrap/>
            <w:hideMark/>
          </w:tcPr>
          <w:p w14:paraId="5C15845B" w14:textId="77777777" w:rsidR="00A77DE9" w:rsidRPr="00D2759F" w:rsidRDefault="00A77DE9" w:rsidP="00A77DE9">
            <w:pPr>
              <w:spacing w:after="160" w:line="259" w:lineRule="auto"/>
            </w:pPr>
            <w:r w:rsidRPr="00D2759F">
              <w:t xml:space="preserve"> $        13,553 </w:t>
            </w:r>
          </w:p>
        </w:tc>
        <w:tc>
          <w:tcPr>
            <w:tcW w:w="1890" w:type="dxa"/>
            <w:noWrap/>
            <w:hideMark/>
          </w:tcPr>
          <w:p w14:paraId="408381AF" w14:textId="77777777" w:rsidR="00A77DE9" w:rsidRPr="00D2759F" w:rsidRDefault="00A77DE9" w:rsidP="00A77DE9">
            <w:pPr>
              <w:spacing w:after="160" w:line="259" w:lineRule="auto"/>
            </w:pPr>
            <w:r w:rsidRPr="00D2759F">
              <w:t xml:space="preserve"> $        33,742 </w:t>
            </w:r>
          </w:p>
        </w:tc>
        <w:tc>
          <w:tcPr>
            <w:tcW w:w="289" w:type="dxa"/>
            <w:noWrap/>
            <w:hideMark/>
          </w:tcPr>
          <w:p w14:paraId="1012DC43" w14:textId="77777777" w:rsidR="00A77DE9" w:rsidRPr="00D2759F" w:rsidRDefault="00A77DE9" w:rsidP="00A77DE9">
            <w:pPr>
              <w:spacing w:after="160" w:line="259" w:lineRule="auto"/>
            </w:pPr>
          </w:p>
        </w:tc>
        <w:tc>
          <w:tcPr>
            <w:tcW w:w="1530" w:type="dxa"/>
            <w:noWrap/>
            <w:hideMark/>
          </w:tcPr>
          <w:p w14:paraId="3E98A6F8" w14:textId="77777777" w:rsidR="00A77DE9" w:rsidRPr="00D2759F" w:rsidRDefault="00A77DE9" w:rsidP="00A77DE9">
            <w:pPr>
              <w:spacing w:after="160" w:line="259" w:lineRule="auto"/>
            </w:pPr>
            <w:r w:rsidRPr="00D2759F">
              <w:t xml:space="preserve"> $    125,072 </w:t>
            </w:r>
          </w:p>
        </w:tc>
      </w:tr>
    </w:tbl>
    <w:p w14:paraId="4ABB1E99" w14:textId="06E18E9A" w:rsidR="0070380A" w:rsidRDefault="0070380A" w:rsidP="00184A1C">
      <w:pPr>
        <w:pStyle w:val="ListParagraph"/>
        <w:numPr>
          <w:ilvl w:val="0"/>
          <w:numId w:val="3"/>
        </w:numPr>
        <w:spacing w:after="120"/>
        <w:ind w:left="360"/>
        <w:contextualSpacing w:val="0"/>
        <w:rPr>
          <w:b/>
          <w:bCs/>
        </w:rPr>
      </w:pPr>
      <w:r>
        <w:rPr>
          <w:b/>
          <w:bCs/>
        </w:rPr>
        <w:t>Staff Developments</w:t>
      </w:r>
    </w:p>
    <w:p w14:paraId="16285D46" w14:textId="5168851A" w:rsidR="0070380A" w:rsidRDefault="0070380A" w:rsidP="0070380A">
      <w:pPr>
        <w:pStyle w:val="ListParagraph"/>
        <w:numPr>
          <w:ilvl w:val="0"/>
          <w:numId w:val="12"/>
        </w:numPr>
        <w:spacing w:after="120"/>
      </w:pPr>
      <w:r>
        <w:t xml:space="preserve">Tiana has </w:t>
      </w:r>
      <w:r w:rsidR="001511B2">
        <w:t xml:space="preserve">obtained her Notary Certification.  She will complete all CSD related Notary actions and is available to complete other notary actions for fee. </w:t>
      </w:r>
    </w:p>
    <w:p w14:paraId="41789DA4" w14:textId="02802AE0" w:rsidR="0070380A" w:rsidRDefault="0070380A" w:rsidP="0070380A">
      <w:pPr>
        <w:pStyle w:val="ListParagraph"/>
        <w:numPr>
          <w:ilvl w:val="0"/>
          <w:numId w:val="12"/>
        </w:numPr>
        <w:spacing w:after="120"/>
      </w:pPr>
      <w:r>
        <w:t xml:space="preserve">Shaw engineering is going to sponsor Skyler in achieving </w:t>
      </w:r>
      <w:r w:rsidR="001511B2">
        <w:t>a practical engineering certificate</w:t>
      </w:r>
    </w:p>
    <w:p w14:paraId="09F972B3" w14:textId="77777777" w:rsidR="001511B2" w:rsidRPr="0070380A" w:rsidRDefault="001511B2" w:rsidP="001511B2">
      <w:pPr>
        <w:pStyle w:val="ListParagraph"/>
        <w:spacing w:after="120"/>
      </w:pPr>
    </w:p>
    <w:p w14:paraId="7894BE3D" w14:textId="6D28A126" w:rsidR="009754DA" w:rsidRPr="009754DA" w:rsidRDefault="00184A1C" w:rsidP="00184A1C">
      <w:pPr>
        <w:pStyle w:val="ListParagraph"/>
        <w:numPr>
          <w:ilvl w:val="0"/>
          <w:numId w:val="3"/>
        </w:numPr>
        <w:spacing w:after="120"/>
        <w:ind w:left="360"/>
        <w:contextualSpacing w:val="0"/>
        <w:rPr>
          <w:b/>
          <w:bCs/>
        </w:rPr>
      </w:pPr>
      <w:r>
        <w:rPr>
          <w:b/>
          <w:bCs/>
        </w:rPr>
        <w:t>Other Ongoing</w:t>
      </w:r>
      <w:r w:rsidR="009754DA">
        <w:rPr>
          <w:b/>
          <w:bCs/>
        </w:rPr>
        <w:t xml:space="preserve"> Initiatives</w:t>
      </w:r>
    </w:p>
    <w:p w14:paraId="64C26B17" w14:textId="10F048E1" w:rsidR="00DC42C7" w:rsidRDefault="0070380A" w:rsidP="0070380A">
      <w:pPr>
        <w:pStyle w:val="ListParagraph"/>
        <w:numPr>
          <w:ilvl w:val="0"/>
          <w:numId w:val="6"/>
        </w:numPr>
        <w:spacing w:after="120"/>
      </w:pPr>
      <w:r>
        <w:t xml:space="preserve">Waiting on LAFCO feedback on our draft </w:t>
      </w:r>
      <w:r w:rsidR="009754DA">
        <w:t xml:space="preserve">Municipal Service Review (MSR) </w:t>
      </w:r>
    </w:p>
    <w:p w14:paraId="6BF7D03C" w14:textId="47E41205" w:rsidR="004237DF" w:rsidRDefault="004237DF" w:rsidP="009754DA">
      <w:pPr>
        <w:pStyle w:val="ListParagraph"/>
        <w:numPr>
          <w:ilvl w:val="0"/>
          <w:numId w:val="6"/>
        </w:numPr>
        <w:spacing w:after="120"/>
      </w:pPr>
      <w:r>
        <w:t>Completed preliminary engineering on following projects:</w:t>
      </w:r>
    </w:p>
    <w:p w14:paraId="13942156" w14:textId="20CDDC7E" w:rsidR="004237DF" w:rsidRDefault="004237DF" w:rsidP="004237DF">
      <w:pPr>
        <w:pStyle w:val="ListParagraph"/>
        <w:numPr>
          <w:ilvl w:val="1"/>
          <w:numId w:val="6"/>
        </w:numPr>
        <w:spacing w:after="120"/>
      </w:pPr>
      <w:r>
        <w:t>Well 29 rehabilitations</w:t>
      </w:r>
    </w:p>
    <w:p w14:paraId="1270183A" w14:textId="7CA3D905" w:rsidR="004237DF" w:rsidRDefault="004237DF" w:rsidP="004237DF">
      <w:pPr>
        <w:pStyle w:val="ListParagraph"/>
        <w:numPr>
          <w:ilvl w:val="1"/>
          <w:numId w:val="6"/>
        </w:numPr>
        <w:spacing w:after="120"/>
      </w:pPr>
      <w:r>
        <w:t>Falling Water leach field expansion</w:t>
      </w:r>
    </w:p>
    <w:p w14:paraId="34C999E4" w14:textId="1A302450" w:rsidR="004237DF" w:rsidRDefault="004237DF" w:rsidP="004237DF">
      <w:pPr>
        <w:pStyle w:val="ListParagraph"/>
        <w:numPr>
          <w:ilvl w:val="1"/>
          <w:numId w:val="6"/>
        </w:numPr>
        <w:spacing w:after="120"/>
      </w:pPr>
      <w:r>
        <w:t>Falling Water reclamation plant</w:t>
      </w:r>
    </w:p>
    <w:p w14:paraId="43EDDBD7" w14:textId="40CDBD50" w:rsidR="004237DF" w:rsidRDefault="004237DF" w:rsidP="004237DF">
      <w:pPr>
        <w:pStyle w:val="ListParagraph"/>
        <w:numPr>
          <w:ilvl w:val="1"/>
          <w:numId w:val="6"/>
        </w:numPr>
        <w:spacing w:after="120"/>
      </w:pPr>
      <w:r>
        <w:t>High elevation water tank</w:t>
      </w:r>
    </w:p>
    <w:p w14:paraId="3B09C3E3" w14:textId="708CFDF7" w:rsidR="00184A1C" w:rsidRDefault="00184A1C" w:rsidP="009754DA">
      <w:pPr>
        <w:pStyle w:val="ListParagraph"/>
        <w:numPr>
          <w:ilvl w:val="0"/>
          <w:numId w:val="6"/>
        </w:numPr>
        <w:spacing w:after="120"/>
      </w:pPr>
      <w:r>
        <w:t>Developing a Water &amp; Sewer Owners Guide for distribution and posting</w:t>
      </w:r>
    </w:p>
    <w:p w14:paraId="3A08331C" w14:textId="307B7B2C" w:rsidR="006E5650" w:rsidRDefault="006E5650" w:rsidP="009754DA">
      <w:pPr>
        <w:pStyle w:val="ListParagraph"/>
        <w:numPr>
          <w:ilvl w:val="0"/>
          <w:numId w:val="6"/>
        </w:numPr>
        <w:spacing w:after="120"/>
      </w:pPr>
      <w:r>
        <w:t xml:space="preserve">Work with staff to implement an updated CSD Welcome package for new homeowners, new property owners, and institutional property owners. </w:t>
      </w:r>
    </w:p>
    <w:p w14:paraId="0C31173C" w14:textId="41BD7743" w:rsidR="00184A1C" w:rsidRDefault="00184A1C" w:rsidP="009754DA">
      <w:pPr>
        <w:pStyle w:val="ListParagraph"/>
        <w:numPr>
          <w:ilvl w:val="0"/>
          <w:numId w:val="6"/>
        </w:numPr>
        <w:spacing w:after="120"/>
      </w:pPr>
      <w:r>
        <w:t xml:space="preserve">Risk Mitigation Project –responses to priory risks identified in the District’s risk review. </w:t>
      </w:r>
    </w:p>
    <w:p w14:paraId="0438605A" w14:textId="32768DE9" w:rsidR="002F6733" w:rsidRDefault="00184A1C" w:rsidP="00357DF9">
      <w:pPr>
        <w:pStyle w:val="ListParagraph"/>
        <w:numPr>
          <w:ilvl w:val="0"/>
          <w:numId w:val="6"/>
        </w:numPr>
        <w:spacing w:after="120"/>
      </w:pPr>
      <w:r>
        <w:t>Developing procedural manuals for bot</w:t>
      </w:r>
      <w:r w:rsidR="0092481E">
        <w:t>h</w:t>
      </w:r>
      <w:r>
        <w:t xml:space="preserve"> administrative and operational procedures</w:t>
      </w:r>
    </w:p>
    <w:p w14:paraId="60929ABE" w14:textId="4D184FED" w:rsidR="00E920C2" w:rsidRPr="00E920C2" w:rsidRDefault="00E920C2" w:rsidP="00896CF5">
      <w:pPr>
        <w:spacing w:after="120"/>
      </w:pPr>
    </w:p>
    <w:sectPr w:rsidR="00E920C2" w:rsidRPr="00E920C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2B324" w14:textId="77777777" w:rsidR="00DD7607" w:rsidRDefault="00DD7607" w:rsidP="00C81FBF">
      <w:pPr>
        <w:spacing w:after="0" w:line="240" w:lineRule="auto"/>
      </w:pPr>
      <w:r>
        <w:separator/>
      </w:r>
    </w:p>
  </w:endnote>
  <w:endnote w:type="continuationSeparator" w:id="0">
    <w:p w14:paraId="0DC2648A" w14:textId="77777777" w:rsidR="00DD7607" w:rsidRDefault="00DD7607"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5F220" w14:textId="77777777" w:rsidR="00DD7607" w:rsidRDefault="00DD7607" w:rsidP="00C81FBF">
      <w:pPr>
        <w:spacing w:after="0" w:line="240" w:lineRule="auto"/>
      </w:pPr>
      <w:r>
        <w:separator/>
      </w:r>
    </w:p>
  </w:footnote>
  <w:footnote w:type="continuationSeparator" w:id="0">
    <w:p w14:paraId="1C3722B3" w14:textId="77777777" w:rsidR="00DD7607" w:rsidRDefault="00DD7607"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3FA25B10"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 xml:space="preserve">.1 </w:t>
                          </w:r>
                          <w:r>
                            <w:rPr>
                              <w:rStyle w:val="Strong"/>
                            </w:rPr>
                            <w:tab/>
                          </w:r>
                          <w:r>
                            <w:rPr>
                              <w:rStyle w:val="Strong"/>
                            </w:rPr>
                            <w:tab/>
                          </w:r>
                          <w:r w:rsidR="00E920C2">
                            <w:rPr>
                              <w:rStyle w:val="Strong"/>
                            </w:rPr>
                            <w:t xml:space="preserve">GENERAL MANAGERS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3FA25B10"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 xml:space="preserve">.1 </w:t>
                    </w:r>
                    <w:r>
                      <w:rPr>
                        <w:rStyle w:val="Strong"/>
                      </w:rPr>
                      <w:tab/>
                    </w:r>
                    <w:r>
                      <w:rPr>
                        <w:rStyle w:val="Strong"/>
                      </w:rPr>
                      <w:tab/>
                    </w:r>
                    <w:r w:rsidR="00E920C2">
                      <w:rPr>
                        <w:rStyle w:val="Strong"/>
                      </w:rPr>
                      <w:t xml:space="preserve">GENERAL MANAGERS REPORT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44EE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84FCF"/>
    <w:multiLevelType w:val="hybridMultilevel"/>
    <w:tmpl w:val="714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25271"/>
    <w:multiLevelType w:val="hybridMultilevel"/>
    <w:tmpl w:val="25360A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850C1C"/>
    <w:multiLevelType w:val="hybridMultilevel"/>
    <w:tmpl w:val="780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8"/>
  </w:num>
  <w:num w:numId="5">
    <w:abstractNumId w:val="4"/>
  </w:num>
  <w:num w:numId="6">
    <w:abstractNumId w:val="9"/>
  </w:num>
  <w:num w:numId="7">
    <w:abstractNumId w:val="7"/>
  </w:num>
  <w:num w:numId="8">
    <w:abstractNumId w:val="10"/>
  </w:num>
  <w:num w:numId="9">
    <w:abstractNumId w:val="11"/>
  </w:num>
  <w:num w:numId="10">
    <w:abstractNumId w:val="0"/>
  </w:num>
  <w:num w:numId="11">
    <w:abstractNumId w:val="6"/>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37ADA"/>
    <w:rsid w:val="000432EC"/>
    <w:rsid w:val="00055463"/>
    <w:rsid w:val="000A1B94"/>
    <w:rsid w:val="000B7D70"/>
    <w:rsid w:val="000D5A93"/>
    <w:rsid w:val="000F4FBE"/>
    <w:rsid w:val="001220A4"/>
    <w:rsid w:val="001319B6"/>
    <w:rsid w:val="001511B2"/>
    <w:rsid w:val="001665CA"/>
    <w:rsid w:val="001848BE"/>
    <w:rsid w:val="00184A1C"/>
    <w:rsid w:val="001A224E"/>
    <w:rsid w:val="001B6964"/>
    <w:rsid w:val="001F6569"/>
    <w:rsid w:val="002118F5"/>
    <w:rsid w:val="00236862"/>
    <w:rsid w:val="00245641"/>
    <w:rsid w:val="00272DBD"/>
    <w:rsid w:val="002B7FD2"/>
    <w:rsid w:val="002D4261"/>
    <w:rsid w:val="002F6733"/>
    <w:rsid w:val="00343D6E"/>
    <w:rsid w:val="003475BA"/>
    <w:rsid w:val="00357DF9"/>
    <w:rsid w:val="003669D0"/>
    <w:rsid w:val="00372CA7"/>
    <w:rsid w:val="00381526"/>
    <w:rsid w:val="00396D61"/>
    <w:rsid w:val="003C64C4"/>
    <w:rsid w:val="003C6961"/>
    <w:rsid w:val="004237DF"/>
    <w:rsid w:val="00444B79"/>
    <w:rsid w:val="00467A26"/>
    <w:rsid w:val="004A0DEF"/>
    <w:rsid w:val="004C6065"/>
    <w:rsid w:val="00531DE5"/>
    <w:rsid w:val="00551960"/>
    <w:rsid w:val="00592F16"/>
    <w:rsid w:val="00630F0F"/>
    <w:rsid w:val="006569D0"/>
    <w:rsid w:val="00690842"/>
    <w:rsid w:val="006A19E3"/>
    <w:rsid w:val="006C7240"/>
    <w:rsid w:val="006D27FB"/>
    <w:rsid w:val="006E5650"/>
    <w:rsid w:val="0070380A"/>
    <w:rsid w:val="00710C23"/>
    <w:rsid w:val="00710F8B"/>
    <w:rsid w:val="00725018"/>
    <w:rsid w:val="00733D85"/>
    <w:rsid w:val="00737C10"/>
    <w:rsid w:val="00745F1D"/>
    <w:rsid w:val="007500B0"/>
    <w:rsid w:val="00752860"/>
    <w:rsid w:val="00773BBF"/>
    <w:rsid w:val="007D21BD"/>
    <w:rsid w:val="007F1CAA"/>
    <w:rsid w:val="008067C9"/>
    <w:rsid w:val="00853FB8"/>
    <w:rsid w:val="0086657E"/>
    <w:rsid w:val="008753C3"/>
    <w:rsid w:val="00891434"/>
    <w:rsid w:val="0089674B"/>
    <w:rsid w:val="00896768"/>
    <w:rsid w:val="00896CF5"/>
    <w:rsid w:val="008B55FF"/>
    <w:rsid w:val="008B5A76"/>
    <w:rsid w:val="008C35DE"/>
    <w:rsid w:val="008C44C6"/>
    <w:rsid w:val="008D2087"/>
    <w:rsid w:val="008E6827"/>
    <w:rsid w:val="008F23DA"/>
    <w:rsid w:val="00913C73"/>
    <w:rsid w:val="0092481E"/>
    <w:rsid w:val="00934B8A"/>
    <w:rsid w:val="0094140E"/>
    <w:rsid w:val="00957CD8"/>
    <w:rsid w:val="009604A1"/>
    <w:rsid w:val="009707AF"/>
    <w:rsid w:val="009709BA"/>
    <w:rsid w:val="009754DA"/>
    <w:rsid w:val="00996DA7"/>
    <w:rsid w:val="009A3CC2"/>
    <w:rsid w:val="009B0209"/>
    <w:rsid w:val="009B0DB4"/>
    <w:rsid w:val="009B270E"/>
    <w:rsid w:val="009E1EDC"/>
    <w:rsid w:val="009E5BA8"/>
    <w:rsid w:val="00A074D8"/>
    <w:rsid w:val="00A12E6A"/>
    <w:rsid w:val="00A2268D"/>
    <w:rsid w:val="00A23587"/>
    <w:rsid w:val="00A273E3"/>
    <w:rsid w:val="00A56430"/>
    <w:rsid w:val="00A70B02"/>
    <w:rsid w:val="00A77DE9"/>
    <w:rsid w:val="00A84CFE"/>
    <w:rsid w:val="00A97232"/>
    <w:rsid w:val="00AD3D50"/>
    <w:rsid w:val="00AE0629"/>
    <w:rsid w:val="00AE4910"/>
    <w:rsid w:val="00B41056"/>
    <w:rsid w:val="00B51C13"/>
    <w:rsid w:val="00B64CD1"/>
    <w:rsid w:val="00B85506"/>
    <w:rsid w:val="00BA073B"/>
    <w:rsid w:val="00BA4280"/>
    <w:rsid w:val="00BB09E8"/>
    <w:rsid w:val="00BC6D67"/>
    <w:rsid w:val="00BC7516"/>
    <w:rsid w:val="00BC7C68"/>
    <w:rsid w:val="00C03F40"/>
    <w:rsid w:val="00C127C4"/>
    <w:rsid w:val="00C17A0B"/>
    <w:rsid w:val="00C32118"/>
    <w:rsid w:val="00C73C60"/>
    <w:rsid w:val="00C81FBF"/>
    <w:rsid w:val="00CA1BA8"/>
    <w:rsid w:val="00CA6EEC"/>
    <w:rsid w:val="00CB7453"/>
    <w:rsid w:val="00CC28C8"/>
    <w:rsid w:val="00CD2EC9"/>
    <w:rsid w:val="00CD2F6B"/>
    <w:rsid w:val="00D03006"/>
    <w:rsid w:val="00D05C15"/>
    <w:rsid w:val="00D11E95"/>
    <w:rsid w:val="00D11FF9"/>
    <w:rsid w:val="00D32E17"/>
    <w:rsid w:val="00D65630"/>
    <w:rsid w:val="00D756EC"/>
    <w:rsid w:val="00DA2076"/>
    <w:rsid w:val="00DA3247"/>
    <w:rsid w:val="00DC42C7"/>
    <w:rsid w:val="00DD7607"/>
    <w:rsid w:val="00DE7AFE"/>
    <w:rsid w:val="00E10756"/>
    <w:rsid w:val="00E12B0C"/>
    <w:rsid w:val="00E24B0E"/>
    <w:rsid w:val="00E33654"/>
    <w:rsid w:val="00E6386C"/>
    <w:rsid w:val="00E77CCB"/>
    <w:rsid w:val="00E920C2"/>
    <w:rsid w:val="00EA2F97"/>
    <w:rsid w:val="00ED79BF"/>
    <w:rsid w:val="00EF6A96"/>
    <w:rsid w:val="00EF6AD0"/>
    <w:rsid w:val="00F01F49"/>
    <w:rsid w:val="00F07D9C"/>
    <w:rsid w:val="00F14CC6"/>
    <w:rsid w:val="00F16BF9"/>
    <w:rsid w:val="00F21409"/>
    <w:rsid w:val="00F26A4F"/>
    <w:rsid w:val="00F5266B"/>
    <w:rsid w:val="00FB2B90"/>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 w:type="character" w:styleId="UnresolvedMention">
    <w:name w:val="Unresolved Mention"/>
    <w:basedOn w:val="DefaultParagraphFont"/>
    <w:uiPriority w:val="99"/>
    <w:semiHidden/>
    <w:unhideWhenUsed/>
    <w:rsid w:val="0089674B"/>
    <w:rPr>
      <w:color w:val="605E5C"/>
      <w:shd w:val="clear" w:color="auto" w:fill="E1DFDD"/>
    </w:rPr>
  </w:style>
  <w:style w:type="character" w:customStyle="1" w:styleId="m-5988367763932318245xmsohyperlink">
    <w:name w:val="m_-5988367763932318245xmsohyperlink"/>
    <w:basedOn w:val="DefaultParagraphFont"/>
    <w:rsid w:val="0092481E"/>
  </w:style>
  <w:style w:type="table" w:styleId="TableGrid">
    <w:name w:val="Table Grid"/>
    <w:basedOn w:val="TableNormal"/>
    <w:uiPriority w:val="39"/>
    <w:rsid w:val="00A77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610</Words>
  <Characters>3481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5</cp:revision>
  <dcterms:created xsi:type="dcterms:W3CDTF">2021-11-08T03:32:00Z</dcterms:created>
  <dcterms:modified xsi:type="dcterms:W3CDTF">2021-11-08T06:42:00Z</dcterms:modified>
</cp:coreProperties>
</file>