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60AE9" w14:textId="790C775B" w:rsidR="001C3194" w:rsidRPr="00195D25" w:rsidRDefault="001456A7" w:rsidP="007127BF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</w:rPr>
        <w:drawing>
          <wp:inline distT="0" distB="0" distL="0" distR="0" wp14:anchorId="256D40D7" wp14:editId="4069F722">
            <wp:extent cx="6309360" cy="927735"/>
            <wp:effectExtent l="0" t="0" r="2540" b="0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3194" w:rsidRPr="00195D25">
        <w:rPr>
          <w:rFonts w:ascii="Arial Narrow" w:hAnsi="Arial Narrow"/>
          <w:b/>
          <w:bCs/>
        </w:rPr>
        <w:t>Gold Mountain Community Services District (GMCSD</w:t>
      </w:r>
      <w:r w:rsidR="005549E6">
        <w:rPr>
          <w:rFonts w:ascii="Arial Narrow" w:hAnsi="Arial Narrow"/>
          <w:b/>
          <w:bCs/>
        </w:rPr>
        <w:t>/District</w:t>
      </w:r>
      <w:r w:rsidR="001C3194" w:rsidRPr="00195D25">
        <w:rPr>
          <w:rFonts w:ascii="Arial Narrow" w:hAnsi="Arial Narrow"/>
          <w:b/>
          <w:bCs/>
        </w:rPr>
        <w:t>)</w:t>
      </w:r>
    </w:p>
    <w:p w14:paraId="7EB76602" w14:textId="3CDA82B3" w:rsidR="00CA728F" w:rsidRPr="00195D25" w:rsidRDefault="00CA728F" w:rsidP="00195D25">
      <w:pPr>
        <w:pStyle w:val="NoSpacing"/>
        <w:rPr>
          <w:rFonts w:ascii="Arial Narrow" w:hAnsi="Arial Narrow"/>
          <w:b/>
          <w:bCs/>
        </w:rPr>
      </w:pPr>
      <w:r w:rsidRPr="00195D25">
        <w:rPr>
          <w:rFonts w:ascii="Arial Narrow" w:hAnsi="Arial Narrow"/>
          <w:b/>
          <w:bCs/>
        </w:rPr>
        <w:t xml:space="preserve">Gold Mountain Community Services District Formation </w:t>
      </w:r>
    </w:p>
    <w:p w14:paraId="424CA40A" w14:textId="52B1F672" w:rsidR="00EF5458" w:rsidRPr="00195D25" w:rsidRDefault="00EF5458">
      <w:pPr>
        <w:rPr>
          <w:rFonts w:ascii="Garamond" w:hAnsi="Garamond"/>
        </w:rPr>
      </w:pPr>
      <w:r w:rsidRPr="00195D25">
        <w:rPr>
          <w:rFonts w:ascii="Garamond" w:hAnsi="Garamond"/>
        </w:rPr>
        <w:t xml:space="preserve">The District was originally formed </w:t>
      </w:r>
      <w:r w:rsidR="000E5EDB" w:rsidRPr="00195D25">
        <w:rPr>
          <w:rFonts w:ascii="Garamond" w:hAnsi="Garamond"/>
        </w:rPr>
        <w:t>in 1996</w:t>
      </w:r>
      <w:r w:rsidRPr="00195D25">
        <w:rPr>
          <w:rFonts w:ascii="Garamond" w:hAnsi="Garamond"/>
        </w:rPr>
        <w:t xml:space="preserve"> and </w:t>
      </w:r>
      <w:r w:rsidR="0019769C">
        <w:rPr>
          <w:rFonts w:ascii="Garamond" w:hAnsi="Garamond"/>
        </w:rPr>
        <w:t>operated</w:t>
      </w:r>
      <w:r w:rsidRPr="00195D25">
        <w:rPr>
          <w:rFonts w:ascii="Garamond" w:hAnsi="Garamond"/>
        </w:rPr>
        <w:t xml:space="preserve"> under </w:t>
      </w:r>
      <w:r w:rsidR="00C6741D">
        <w:rPr>
          <w:rFonts w:ascii="Garamond" w:hAnsi="Garamond"/>
        </w:rPr>
        <w:t>direction</w:t>
      </w:r>
      <w:r w:rsidRPr="00195D25">
        <w:rPr>
          <w:rFonts w:ascii="Garamond" w:hAnsi="Garamond"/>
        </w:rPr>
        <w:t xml:space="preserve"> from</w:t>
      </w:r>
      <w:r w:rsidR="000E5EDB" w:rsidRPr="00195D25">
        <w:rPr>
          <w:rFonts w:ascii="Garamond" w:hAnsi="Garamond"/>
        </w:rPr>
        <w:t xml:space="preserve"> the Plumas County Board of Supervisors</w:t>
      </w:r>
      <w:r w:rsidRPr="00195D25">
        <w:rPr>
          <w:rFonts w:ascii="Garamond" w:hAnsi="Garamond"/>
        </w:rPr>
        <w:t xml:space="preserve">. The community petitioned for local control </w:t>
      </w:r>
      <w:r w:rsidR="001F7525">
        <w:rPr>
          <w:rFonts w:ascii="Garamond" w:hAnsi="Garamond"/>
        </w:rPr>
        <w:t xml:space="preserve">in </w:t>
      </w:r>
      <w:r w:rsidRPr="00195D25">
        <w:rPr>
          <w:rFonts w:ascii="Garamond" w:hAnsi="Garamond"/>
        </w:rPr>
        <w:t xml:space="preserve">2004 and took control </w:t>
      </w:r>
      <w:r w:rsidR="00864707" w:rsidRPr="00195D25">
        <w:rPr>
          <w:rFonts w:ascii="Garamond" w:hAnsi="Garamond"/>
        </w:rPr>
        <w:t>of</w:t>
      </w:r>
      <w:r w:rsidR="000E5EDB" w:rsidRPr="00195D25">
        <w:rPr>
          <w:rFonts w:ascii="Garamond" w:hAnsi="Garamond"/>
        </w:rPr>
        <w:t xml:space="preserve"> District</w:t>
      </w:r>
      <w:r w:rsidR="00E734F7" w:rsidRPr="00195D25">
        <w:rPr>
          <w:rFonts w:ascii="Garamond" w:hAnsi="Garamond"/>
        </w:rPr>
        <w:t xml:space="preserve"> governance</w:t>
      </w:r>
      <w:r w:rsidR="001C3194" w:rsidRPr="00195D25">
        <w:rPr>
          <w:rFonts w:ascii="Garamond" w:hAnsi="Garamond"/>
        </w:rPr>
        <w:t xml:space="preserve"> in 2005</w:t>
      </w:r>
      <w:r w:rsidR="007D5B5C" w:rsidRPr="00195D25">
        <w:rPr>
          <w:rFonts w:ascii="Garamond" w:hAnsi="Garamond"/>
        </w:rPr>
        <w:t xml:space="preserve">. </w:t>
      </w:r>
    </w:p>
    <w:p w14:paraId="095AE0C9" w14:textId="2DD32128" w:rsidR="00EF5458" w:rsidRPr="00195D25" w:rsidRDefault="001C3194">
      <w:pPr>
        <w:rPr>
          <w:rFonts w:ascii="Garamond" w:hAnsi="Garamond"/>
        </w:rPr>
      </w:pPr>
      <w:r w:rsidRPr="00195D25">
        <w:rPr>
          <w:rFonts w:ascii="Garamond" w:hAnsi="Garamond"/>
        </w:rPr>
        <w:t xml:space="preserve">District Directors </w:t>
      </w:r>
      <w:r w:rsidR="00257EE8" w:rsidRPr="00195D25">
        <w:rPr>
          <w:rFonts w:ascii="Garamond" w:hAnsi="Garamond"/>
        </w:rPr>
        <w:t>assumed</w:t>
      </w:r>
      <w:r w:rsidRPr="00195D25">
        <w:rPr>
          <w:rFonts w:ascii="Garamond" w:hAnsi="Garamond"/>
        </w:rPr>
        <w:t xml:space="preserve"> responsibility for delivering safe and reliable water and sewer services to the community</w:t>
      </w:r>
      <w:r w:rsidR="00C6741D">
        <w:rPr>
          <w:rFonts w:ascii="Garamond" w:hAnsi="Garamond"/>
        </w:rPr>
        <w:t>;</w:t>
      </w:r>
      <w:r w:rsidR="00EF5458" w:rsidRPr="00195D25">
        <w:rPr>
          <w:rFonts w:ascii="Garamond" w:hAnsi="Garamond"/>
        </w:rPr>
        <w:t xml:space="preserve"> </w:t>
      </w:r>
      <w:r w:rsidR="00C6741D" w:rsidRPr="00195D25">
        <w:rPr>
          <w:rFonts w:ascii="Garamond" w:hAnsi="Garamond"/>
        </w:rPr>
        <w:t>however,</w:t>
      </w:r>
      <w:r w:rsidR="00EF5458" w:rsidRPr="00195D25">
        <w:rPr>
          <w:rFonts w:ascii="Garamond" w:hAnsi="Garamond"/>
        </w:rPr>
        <w:t xml:space="preserve"> the commitment came</w:t>
      </w:r>
      <w:r w:rsidRPr="00195D25">
        <w:rPr>
          <w:rFonts w:ascii="Garamond" w:hAnsi="Garamond"/>
        </w:rPr>
        <w:t xml:space="preserve"> </w:t>
      </w:r>
      <w:r w:rsidR="00257EE8" w:rsidRPr="00195D25">
        <w:rPr>
          <w:rFonts w:ascii="Garamond" w:hAnsi="Garamond"/>
        </w:rPr>
        <w:t xml:space="preserve">with </w:t>
      </w:r>
      <w:r w:rsidR="00F65D95">
        <w:rPr>
          <w:rFonts w:ascii="Garamond" w:hAnsi="Garamond"/>
        </w:rPr>
        <w:t>minimal</w:t>
      </w:r>
      <w:r w:rsidR="00F65D95" w:rsidRPr="00195D25">
        <w:rPr>
          <w:rFonts w:ascii="Garamond" w:hAnsi="Garamond"/>
        </w:rPr>
        <w:t xml:space="preserve"> </w:t>
      </w:r>
      <w:r w:rsidR="00257EE8" w:rsidRPr="00195D25">
        <w:rPr>
          <w:rFonts w:ascii="Garamond" w:hAnsi="Garamond"/>
        </w:rPr>
        <w:t xml:space="preserve">resources, incomplete infrastructure, and a rate structure that was incapable of </w:t>
      </w:r>
      <w:r w:rsidR="00EF5458" w:rsidRPr="00195D25">
        <w:rPr>
          <w:rFonts w:ascii="Garamond" w:hAnsi="Garamond"/>
        </w:rPr>
        <w:t>sustaining</w:t>
      </w:r>
      <w:r w:rsidR="00257EE8" w:rsidRPr="00195D25">
        <w:rPr>
          <w:rFonts w:ascii="Garamond" w:hAnsi="Garamond"/>
        </w:rPr>
        <w:t xml:space="preserve"> operations</w:t>
      </w:r>
      <w:r w:rsidR="007D5B5C" w:rsidRPr="00195D25">
        <w:rPr>
          <w:rFonts w:ascii="Garamond" w:hAnsi="Garamond"/>
        </w:rPr>
        <w:t xml:space="preserve">. </w:t>
      </w:r>
      <w:r w:rsidR="00174431" w:rsidRPr="00195D25">
        <w:rPr>
          <w:rFonts w:ascii="Garamond" w:hAnsi="Garamond"/>
        </w:rPr>
        <w:t xml:space="preserve">Within the first 18 months, </w:t>
      </w:r>
      <w:r w:rsidR="00EF5458" w:rsidRPr="00195D25">
        <w:rPr>
          <w:rFonts w:ascii="Garamond" w:hAnsi="Garamond"/>
        </w:rPr>
        <w:t>the</w:t>
      </w:r>
      <w:r w:rsidR="00257EE8" w:rsidRPr="00195D25">
        <w:rPr>
          <w:rFonts w:ascii="Garamond" w:hAnsi="Garamond"/>
        </w:rPr>
        <w:t xml:space="preserve"> developer</w:t>
      </w:r>
      <w:r w:rsidR="00C6741D">
        <w:rPr>
          <w:rFonts w:ascii="Garamond" w:hAnsi="Garamond"/>
        </w:rPr>
        <w:t xml:space="preserve"> filed</w:t>
      </w:r>
      <w:r w:rsidR="00257EE8" w:rsidRPr="00195D25">
        <w:rPr>
          <w:rFonts w:ascii="Garamond" w:hAnsi="Garamond"/>
        </w:rPr>
        <w:t xml:space="preserve"> bankruptcy</w:t>
      </w:r>
      <w:r w:rsidR="00C6741D">
        <w:rPr>
          <w:rFonts w:ascii="Garamond" w:hAnsi="Garamond"/>
        </w:rPr>
        <w:t xml:space="preserve">. The District also </w:t>
      </w:r>
      <w:r w:rsidR="00F65D95">
        <w:rPr>
          <w:rFonts w:ascii="Garamond" w:hAnsi="Garamond"/>
        </w:rPr>
        <w:t xml:space="preserve">responded to </w:t>
      </w:r>
      <w:r w:rsidR="00174431" w:rsidRPr="00195D25">
        <w:rPr>
          <w:rFonts w:ascii="Garamond" w:hAnsi="Garamond"/>
        </w:rPr>
        <w:t>a failure of the Windsong leach</w:t>
      </w:r>
      <w:r w:rsidR="00195D25">
        <w:rPr>
          <w:rFonts w:ascii="Garamond" w:hAnsi="Garamond"/>
        </w:rPr>
        <w:t xml:space="preserve"> </w:t>
      </w:r>
      <w:r w:rsidR="00174431" w:rsidRPr="00195D25">
        <w:rPr>
          <w:rFonts w:ascii="Garamond" w:hAnsi="Garamond"/>
        </w:rPr>
        <w:t>field</w:t>
      </w:r>
      <w:r w:rsidR="00C6741D">
        <w:rPr>
          <w:rFonts w:ascii="Garamond" w:hAnsi="Garamond"/>
        </w:rPr>
        <w:t xml:space="preserve"> </w:t>
      </w:r>
      <w:r w:rsidR="00174431" w:rsidRPr="00195D25">
        <w:rPr>
          <w:rFonts w:ascii="Garamond" w:hAnsi="Garamond"/>
        </w:rPr>
        <w:t xml:space="preserve">and a landslide that </w:t>
      </w:r>
      <w:r w:rsidR="00864707" w:rsidRPr="00195D25">
        <w:rPr>
          <w:rFonts w:ascii="Garamond" w:hAnsi="Garamond"/>
        </w:rPr>
        <w:t xml:space="preserve">threatened </w:t>
      </w:r>
      <w:r w:rsidR="00174431" w:rsidRPr="00195D25">
        <w:rPr>
          <w:rFonts w:ascii="Garamond" w:hAnsi="Garamond"/>
        </w:rPr>
        <w:t>the District’s water storage tanks</w:t>
      </w:r>
      <w:r w:rsidR="001F7525">
        <w:rPr>
          <w:rFonts w:ascii="Garamond" w:hAnsi="Garamond"/>
        </w:rPr>
        <w:t>,</w:t>
      </w:r>
      <w:r w:rsidR="00C6741D">
        <w:rPr>
          <w:rFonts w:ascii="Garamond" w:hAnsi="Garamond"/>
        </w:rPr>
        <w:t xml:space="preserve"> resulting in the use of</w:t>
      </w:r>
      <w:r w:rsidR="00EF5458" w:rsidRPr="00195D25">
        <w:rPr>
          <w:rFonts w:ascii="Garamond" w:hAnsi="Garamond"/>
        </w:rPr>
        <w:t xml:space="preserve"> substantial reserves in both circumstances to secure </w:t>
      </w:r>
      <w:r w:rsidR="0019769C">
        <w:rPr>
          <w:rFonts w:ascii="Garamond" w:hAnsi="Garamond"/>
        </w:rPr>
        <w:t xml:space="preserve">continued </w:t>
      </w:r>
      <w:r w:rsidR="00EF5458" w:rsidRPr="00195D25">
        <w:rPr>
          <w:rFonts w:ascii="Garamond" w:hAnsi="Garamond"/>
        </w:rPr>
        <w:t xml:space="preserve">operations. </w:t>
      </w:r>
    </w:p>
    <w:p w14:paraId="37617324" w14:textId="5E1434A2" w:rsidR="00693C76" w:rsidRPr="00195D25" w:rsidRDefault="00EF5458">
      <w:pPr>
        <w:rPr>
          <w:rFonts w:ascii="Garamond" w:hAnsi="Garamond"/>
        </w:rPr>
      </w:pPr>
      <w:r w:rsidRPr="00195D25">
        <w:rPr>
          <w:rFonts w:ascii="Garamond" w:hAnsi="Garamond"/>
        </w:rPr>
        <w:t xml:space="preserve">In 2006, the District completed a rate study that established sustainable revenue through </w:t>
      </w:r>
      <w:r w:rsidR="001F7525">
        <w:rPr>
          <w:rFonts w:ascii="Garamond" w:hAnsi="Garamond"/>
        </w:rPr>
        <w:t xml:space="preserve">new </w:t>
      </w:r>
      <w:r w:rsidRPr="00195D25">
        <w:rPr>
          <w:rFonts w:ascii="Garamond" w:hAnsi="Garamond"/>
        </w:rPr>
        <w:t xml:space="preserve">water and sewer rates. The </w:t>
      </w:r>
      <w:r w:rsidR="00B4341A" w:rsidRPr="00195D25">
        <w:rPr>
          <w:rFonts w:ascii="Garamond" w:hAnsi="Garamond"/>
        </w:rPr>
        <w:t>bankruptcy settlement with the developer</w:t>
      </w:r>
      <w:r w:rsidRPr="00195D25">
        <w:rPr>
          <w:rFonts w:ascii="Garamond" w:hAnsi="Garamond"/>
        </w:rPr>
        <w:t xml:space="preserve"> and </w:t>
      </w:r>
      <w:r w:rsidR="00B4341A" w:rsidRPr="00195D25">
        <w:rPr>
          <w:rFonts w:ascii="Garamond" w:hAnsi="Garamond"/>
        </w:rPr>
        <w:t xml:space="preserve">passing of the District’s Fire Tax, </w:t>
      </w:r>
      <w:r w:rsidRPr="00195D25">
        <w:rPr>
          <w:rFonts w:ascii="Garamond" w:hAnsi="Garamond"/>
        </w:rPr>
        <w:t xml:space="preserve">coupled with a five-year rate plan, allowed </w:t>
      </w:r>
      <w:r w:rsidR="00B4341A" w:rsidRPr="00195D25">
        <w:rPr>
          <w:rFonts w:ascii="Garamond" w:hAnsi="Garamond"/>
        </w:rPr>
        <w:t xml:space="preserve">the District </w:t>
      </w:r>
      <w:r w:rsidRPr="00195D25">
        <w:rPr>
          <w:rFonts w:ascii="Garamond" w:hAnsi="Garamond"/>
        </w:rPr>
        <w:t xml:space="preserve">to </w:t>
      </w:r>
      <w:r w:rsidR="00B4341A" w:rsidRPr="00195D25">
        <w:rPr>
          <w:rFonts w:ascii="Garamond" w:hAnsi="Garamond"/>
        </w:rPr>
        <w:t>gain sound financial footing</w:t>
      </w:r>
      <w:r w:rsidR="007D5B5C" w:rsidRPr="00195D25">
        <w:rPr>
          <w:rFonts w:ascii="Garamond" w:hAnsi="Garamond"/>
        </w:rPr>
        <w:t xml:space="preserve"> for the next 10 years. </w:t>
      </w:r>
    </w:p>
    <w:p w14:paraId="2DB6F947" w14:textId="77777777" w:rsidR="0019769C" w:rsidRDefault="00B7008A" w:rsidP="00CA101E">
      <w:pPr>
        <w:spacing w:after="0"/>
        <w:rPr>
          <w:rFonts w:ascii="Garamond" w:hAnsi="Garamond"/>
        </w:rPr>
      </w:pPr>
      <w:r w:rsidRPr="00195D25">
        <w:rPr>
          <w:rFonts w:ascii="Garamond" w:hAnsi="Garamond"/>
        </w:rPr>
        <w:t xml:space="preserve">The District has matured </w:t>
      </w:r>
      <w:r w:rsidR="000901C6" w:rsidRPr="00195D25">
        <w:rPr>
          <w:rFonts w:ascii="Garamond" w:hAnsi="Garamond"/>
        </w:rPr>
        <w:t xml:space="preserve">in its operations </w:t>
      </w:r>
      <w:r w:rsidRPr="00195D25">
        <w:rPr>
          <w:rFonts w:ascii="Garamond" w:hAnsi="Garamond"/>
        </w:rPr>
        <w:t>over the ensuing years</w:t>
      </w:r>
      <w:r w:rsidR="0019769C">
        <w:rPr>
          <w:rFonts w:ascii="Garamond" w:hAnsi="Garamond"/>
        </w:rPr>
        <w:t xml:space="preserve"> as demonstrated by k</w:t>
      </w:r>
      <w:r w:rsidR="000901C6" w:rsidRPr="00195D25">
        <w:rPr>
          <w:rFonts w:ascii="Garamond" w:hAnsi="Garamond"/>
        </w:rPr>
        <w:t xml:space="preserve">ey </w:t>
      </w:r>
      <w:r w:rsidR="00D51122">
        <w:rPr>
          <w:rFonts w:ascii="Garamond" w:hAnsi="Garamond"/>
        </w:rPr>
        <w:t>milestones</w:t>
      </w:r>
      <w:r w:rsidR="00C6741D">
        <w:rPr>
          <w:rFonts w:ascii="Garamond" w:hAnsi="Garamond"/>
        </w:rPr>
        <w:t>:</w:t>
      </w:r>
      <w:r w:rsidRPr="00195D25">
        <w:rPr>
          <w:rFonts w:ascii="Garamond" w:hAnsi="Garamond"/>
        </w:rPr>
        <w:t xml:space="preserve"> </w:t>
      </w:r>
    </w:p>
    <w:p w14:paraId="56DA7F85" w14:textId="77777777" w:rsidR="0019769C" w:rsidRDefault="006D7F91" w:rsidP="00EA58D4">
      <w:pPr>
        <w:pStyle w:val="ListParagraph"/>
        <w:numPr>
          <w:ilvl w:val="0"/>
          <w:numId w:val="11"/>
        </w:numPr>
        <w:ind w:left="540"/>
        <w:rPr>
          <w:rFonts w:ascii="Garamond" w:hAnsi="Garamond"/>
        </w:rPr>
      </w:pPr>
      <w:r w:rsidRPr="0019769C">
        <w:rPr>
          <w:rFonts w:ascii="Garamond" w:hAnsi="Garamond"/>
        </w:rPr>
        <w:t>develop</w:t>
      </w:r>
      <w:r w:rsidR="00D51122" w:rsidRPr="0019769C">
        <w:rPr>
          <w:rFonts w:ascii="Garamond" w:hAnsi="Garamond"/>
        </w:rPr>
        <w:t>ment of</w:t>
      </w:r>
      <w:r w:rsidRPr="0019769C">
        <w:rPr>
          <w:rFonts w:ascii="Garamond" w:hAnsi="Garamond"/>
        </w:rPr>
        <w:t xml:space="preserve"> </w:t>
      </w:r>
      <w:r w:rsidR="00B7008A" w:rsidRPr="0019769C">
        <w:rPr>
          <w:rFonts w:ascii="Garamond" w:hAnsi="Garamond"/>
        </w:rPr>
        <w:t xml:space="preserve">new wells </w:t>
      </w:r>
      <w:r w:rsidR="000901C6" w:rsidRPr="0019769C">
        <w:rPr>
          <w:rFonts w:ascii="Garamond" w:hAnsi="Garamond"/>
        </w:rPr>
        <w:t xml:space="preserve">to provide </w:t>
      </w:r>
      <w:r w:rsidR="00B7008A" w:rsidRPr="0019769C">
        <w:rPr>
          <w:rFonts w:ascii="Garamond" w:hAnsi="Garamond"/>
        </w:rPr>
        <w:t>a stable water source to support the growing community</w:t>
      </w:r>
    </w:p>
    <w:p w14:paraId="64E8612B" w14:textId="00D607A6" w:rsidR="0019769C" w:rsidRDefault="00B7008A" w:rsidP="00EA58D4">
      <w:pPr>
        <w:pStyle w:val="ListParagraph"/>
        <w:numPr>
          <w:ilvl w:val="0"/>
          <w:numId w:val="11"/>
        </w:numPr>
        <w:ind w:left="540"/>
        <w:rPr>
          <w:rFonts w:ascii="Garamond" w:hAnsi="Garamond"/>
        </w:rPr>
      </w:pPr>
      <w:r w:rsidRPr="0019769C">
        <w:rPr>
          <w:rFonts w:ascii="Garamond" w:hAnsi="Garamond"/>
        </w:rPr>
        <w:t>expan</w:t>
      </w:r>
      <w:r w:rsidR="0019769C">
        <w:rPr>
          <w:rFonts w:ascii="Garamond" w:hAnsi="Garamond"/>
        </w:rPr>
        <w:t>sion of</w:t>
      </w:r>
      <w:r w:rsidRPr="0019769C">
        <w:rPr>
          <w:rFonts w:ascii="Garamond" w:hAnsi="Garamond"/>
        </w:rPr>
        <w:t xml:space="preserve"> </w:t>
      </w:r>
      <w:r w:rsidR="000901C6" w:rsidRPr="0019769C">
        <w:rPr>
          <w:rFonts w:ascii="Garamond" w:hAnsi="Garamond"/>
        </w:rPr>
        <w:t>leach field</w:t>
      </w:r>
      <w:r w:rsidRPr="0019769C">
        <w:rPr>
          <w:rFonts w:ascii="Garamond" w:hAnsi="Garamond"/>
        </w:rPr>
        <w:t xml:space="preserve"> capacity</w:t>
      </w:r>
    </w:p>
    <w:p w14:paraId="100F89A8" w14:textId="77A36416" w:rsidR="0019769C" w:rsidRDefault="0019769C" w:rsidP="00EA58D4">
      <w:pPr>
        <w:pStyle w:val="ListParagraph"/>
        <w:numPr>
          <w:ilvl w:val="0"/>
          <w:numId w:val="11"/>
        </w:numPr>
        <w:ind w:left="540"/>
        <w:rPr>
          <w:rFonts w:ascii="Garamond" w:hAnsi="Garamond"/>
        </w:rPr>
      </w:pPr>
      <w:r>
        <w:rPr>
          <w:rFonts w:ascii="Garamond" w:hAnsi="Garamond"/>
        </w:rPr>
        <w:t>development of</w:t>
      </w:r>
      <w:r w:rsidR="000901C6" w:rsidRPr="0019769C">
        <w:rPr>
          <w:rFonts w:ascii="Garamond" w:hAnsi="Garamond"/>
        </w:rPr>
        <w:t xml:space="preserve"> </w:t>
      </w:r>
      <w:r w:rsidR="00B7008A" w:rsidRPr="0019769C">
        <w:rPr>
          <w:rFonts w:ascii="Garamond" w:hAnsi="Garamond"/>
        </w:rPr>
        <w:t>in</w:t>
      </w:r>
      <w:r w:rsidR="000901C6" w:rsidRPr="0019769C">
        <w:rPr>
          <w:rFonts w:ascii="Garamond" w:hAnsi="Garamond"/>
        </w:rPr>
        <w:t>-</w:t>
      </w:r>
      <w:r w:rsidR="00B7008A" w:rsidRPr="0019769C">
        <w:rPr>
          <w:rFonts w:ascii="Garamond" w:hAnsi="Garamond"/>
        </w:rPr>
        <w:t>place maintenance plans, and</w:t>
      </w:r>
    </w:p>
    <w:p w14:paraId="75C78515" w14:textId="13ABB914" w:rsidR="000901C6" w:rsidRPr="0019769C" w:rsidRDefault="000901C6" w:rsidP="00EA58D4">
      <w:pPr>
        <w:pStyle w:val="ListParagraph"/>
        <w:numPr>
          <w:ilvl w:val="0"/>
          <w:numId w:val="11"/>
        </w:numPr>
        <w:ind w:left="540"/>
        <w:rPr>
          <w:rFonts w:ascii="Garamond" w:hAnsi="Garamond"/>
        </w:rPr>
      </w:pPr>
      <w:r w:rsidRPr="0019769C">
        <w:rPr>
          <w:rFonts w:ascii="Garamond" w:hAnsi="Garamond"/>
        </w:rPr>
        <w:t>hired and trained</w:t>
      </w:r>
      <w:r w:rsidR="00672714" w:rsidRPr="0019769C">
        <w:rPr>
          <w:rFonts w:ascii="Garamond" w:hAnsi="Garamond"/>
        </w:rPr>
        <w:t xml:space="preserve"> </w:t>
      </w:r>
      <w:r w:rsidR="00B7008A" w:rsidRPr="0019769C">
        <w:rPr>
          <w:rFonts w:ascii="Garamond" w:hAnsi="Garamond"/>
        </w:rPr>
        <w:t xml:space="preserve">experienced staff </w:t>
      </w:r>
      <w:r w:rsidR="0019769C">
        <w:rPr>
          <w:rFonts w:ascii="Garamond" w:hAnsi="Garamond"/>
        </w:rPr>
        <w:t>well-</w:t>
      </w:r>
      <w:r w:rsidRPr="0019769C">
        <w:rPr>
          <w:rFonts w:ascii="Garamond" w:hAnsi="Garamond"/>
        </w:rPr>
        <w:t xml:space="preserve">versed </w:t>
      </w:r>
      <w:r w:rsidR="00B7008A" w:rsidRPr="0019769C">
        <w:rPr>
          <w:rFonts w:ascii="Garamond" w:hAnsi="Garamond"/>
        </w:rPr>
        <w:t>in all aspects of District operations</w:t>
      </w:r>
      <w:r w:rsidR="007D5B5C" w:rsidRPr="0019769C">
        <w:rPr>
          <w:rFonts w:ascii="Garamond" w:hAnsi="Garamond"/>
        </w:rPr>
        <w:t xml:space="preserve">. </w:t>
      </w:r>
    </w:p>
    <w:p w14:paraId="6972535D" w14:textId="54564A90" w:rsidR="00C6741D" w:rsidRDefault="000901C6">
      <w:pPr>
        <w:rPr>
          <w:rFonts w:ascii="Garamond" w:hAnsi="Garamond"/>
        </w:rPr>
      </w:pPr>
      <w:r w:rsidRPr="00195D25">
        <w:rPr>
          <w:rFonts w:ascii="Garamond" w:hAnsi="Garamond"/>
        </w:rPr>
        <w:t xml:space="preserve">The </w:t>
      </w:r>
      <w:r w:rsidR="0074554D" w:rsidRPr="00195D25">
        <w:rPr>
          <w:rFonts w:ascii="Garamond" w:hAnsi="Garamond"/>
        </w:rPr>
        <w:t>2006 rate study resulted in incremental water and sewer rate increases through 2011</w:t>
      </w:r>
      <w:r w:rsidR="007D5B5C" w:rsidRPr="00195D25">
        <w:rPr>
          <w:rFonts w:ascii="Garamond" w:hAnsi="Garamond"/>
        </w:rPr>
        <w:t xml:space="preserve">. </w:t>
      </w:r>
      <w:r w:rsidRPr="00195D25">
        <w:rPr>
          <w:rFonts w:ascii="Garamond" w:hAnsi="Garamond"/>
        </w:rPr>
        <w:t>Using sound fiscal management and the ability to defer</w:t>
      </w:r>
      <w:r w:rsidR="00350A32" w:rsidRPr="00195D25">
        <w:rPr>
          <w:rFonts w:ascii="Garamond" w:hAnsi="Garamond"/>
        </w:rPr>
        <w:t xml:space="preserve"> maintenance</w:t>
      </w:r>
      <w:r w:rsidRPr="00195D25">
        <w:rPr>
          <w:rFonts w:ascii="Garamond" w:hAnsi="Garamond"/>
        </w:rPr>
        <w:t xml:space="preserve"> without impacting the ability to provide safe, reliable</w:t>
      </w:r>
      <w:r w:rsidR="00C6741D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quality services, the</w:t>
      </w:r>
      <w:r w:rsidR="00350A32" w:rsidRPr="00195D25">
        <w:rPr>
          <w:rFonts w:ascii="Garamond" w:hAnsi="Garamond"/>
        </w:rPr>
        <w:t xml:space="preserve"> District </w:t>
      </w:r>
      <w:r w:rsidR="00672714" w:rsidRPr="00195D25">
        <w:rPr>
          <w:rFonts w:ascii="Garamond" w:hAnsi="Garamond"/>
        </w:rPr>
        <w:t>w</w:t>
      </w:r>
      <w:r w:rsidR="00350A32" w:rsidRPr="00195D25">
        <w:rPr>
          <w:rFonts w:ascii="Garamond" w:hAnsi="Garamond"/>
        </w:rPr>
        <w:t xml:space="preserve">as able to operate without </w:t>
      </w:r>
      <w:r w:rsidRPr="00195D25">
        <w:rPr>
          <w:rFonts w:ascii="Garamond" w:hAnsi="Garamond"/>
        </w:rPr>
        <w:t>implementing rate increases</w:t>
      </w:r>
      <w:r w:rsidR="00D51122">
        <w:rPr>
          <w:rFonts w:ascii="Garamond" w:hAnsi="Garamond"/>
        </w:rPr>
        <w:t xml:space="preserve"> for the</w:t>
      </w:r>
      <w:r w:rsidRPr="00195D25">
        <w:rPr>
          <w:rFonts w:ascii="Garamond" w:hAnsi="Garamond"/>
        </w:rPr>
        <w:t xml:space="preserve"> </w:t>
      </w:r>
      <w:r w:rsidR="0019769C">
        <w:rPr>
          <w:rFonts w:ascii="Garamond" w:hAnsi="Garamond"/>
        </w:rPr>
        <w:t>following</w:t>
      </w:r>
      <w:r w:rsidR="001F7525" w:rsidRPr="00195D25">
        <w:rPr>
          <w:rFonts w:ascii="Garamond" w:hAnsi="Garamond"/>
        </w:rPr>
        <w:t xml:space="preserve"> </w:t>
      </w:r>
      <w:r w:rsidR="00350A32" w:rsidRPr="00195D25">
        <w:rPr>
          <w:rFonts w:ascii="Garamond" w:hAnsi="Garamond"/>
        </w:rPr>
        <w:t>10 years</w:t>
      </w:r>
      <w:r w:rsidR="007D5B5C" w:rsidRPr="00195D25">
        <w:rPr>
          <w:rFonts w:ascii="Garamond" w:hAnsi="Garamond"/>
        </w:rPr>
        <w:t xml:space="preserve">. </w:t>
      </w:r>
    </w:p>
    <w:p w14:paraId="6F077E27" w14:textId="5D9BE9A1" w:rsidR="00C6741D" w:rsidRPr="00195D25" w:rsidRDefault="00C6741D" w:rsidP="00C6741D">
      <w:pPr>
        <w:pStyle w:val="NoSpacing"/>
        <w:rPr>
          <w:rFonts w:ascii="Arial Narrow" w:hAnsi="Arial Narrow"/>
          <w:b/>
          <w:bCs/>
        </w:rPr>
      </w:pPr>
      <w:r w:rsidRPr="00195D25">
        <w:rPr>
          <w:rFonts w:ascii="Arial Narrow" w:hAnsi="Arial Narrow"/>
          <w:b/>
          <w:bCs/>
        </w:rPr>
        <w:t xml:space="preserve">Gold Mountain Community Services District </w:t>
      </w:r>
      <w:r>
        <w:rPr>
          <w:rFonts w:ascii="Arial Narrow" w:hAnsi="Arial Narrow"/>
          <w:b/>
          <w:bCs/>
        </w:rPr>
        <w:t>Today</w:t>
      </w:r>
    </w:p>
    <w:p w14:paraId="7690DD3E" w14:textId="23ECD235" w:rsidR="00F26F04" w:rsidRPr="00195D25" w:rsidRDefault="000901C6">
      <w:pPr>
        <w:rPr>
          <w:rFonts w:ascii="Garamond" w:hAnsi="Garamond"/>
        </w:rPr>
      </w:pPr>
      <w:r w:rsidRPr="00195D25">
        <w:rPr>
          <w:rFonts w:ascii="Garamond" w:hAnsi="Garamond"/>
        </w:rPr>
        <w:t>The District has used substantial reserves to fund needed c</w:t>
      </w:r>
      <w:r w:rsidR="006132E4" w:rsidRPr="00195D25">
        <w:rPr>
          <w:rFonts w:ascii="Garamond" w:hAnsi="Garamond"/>
        </w:rPr>
        <w:t>apital improvements and major maintenance requirement</w:t>
      </w:r>
      <w:r w:rsidR="007127BF" w:rsidRPr="00195D25">
        <w:rPr>
          <w:rFonts w:ascii="Garamond" w:hAnsi="Garamond"/>
        </w:rPr>
        <w:t>s</w:t>
      </w:r>
      <w:r w:rsidR="00561A61" w:rsidRPr="00195D25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</w:t>
      </w:r>
      <w:r w:rsidR="001F7525">
        <w:rPr>
          <w:rFonts w:ascii="Garamond" w:hAnsi="Garamond"/>
        </w:rPr>
        <w:t>placing</w:t>
      </w:r>
      <w:r w:rsidR="006132E4" w:rsidRPr="00195D25">
        <w:rPr>
          <w:rFonts w:ascii="Garamond" w:hAnsi="Garamond"/>
        </w:rPr>
        <w:t xml:space="preserve"> a strain on the operational budget</w:t>
      </w:r>
      <w:r w:rsidR="007D5B5C" w:rsidRPr="00195D25">
        <w:rPr>
          <w:rFonts w:ascii="Garamond" w:hAnsi="Garamond"/>
        </w:rPr>
        <w:t xml:space="preserve">. </w:t>
      </w:r>
      <w:r w:rsidR="00095DFA">
        <w:rPr>
          <w:rFonts w:ascii="Garamond" w:hAnsi="Garamond"/>
        </w:rPr>
        <w:t>T</w:t>
      </w:r>
      <w:r w:rsidRPr="00195D25">
        <w:rPr>
          <w:rFonts w:ascii="Garamond" w:hAnsi="Garamond"/>
        </w:rPr>
        <w:t>he District faces</w:t>
      </w:r>
      <w:r w:rsidR="00B7008A" w:rsidRPr="00195D25">
        <w:rPr>
          <w:rFonts w:ascii="Garamond" w:hAnsi="Garamond"/>
        </w:rPr>
        <w:t xml:space="preserve"> a new set of challenges including aging infrastructure, </w:t>
      </w:r>
      <w:r w:rsidR="007127BF" w:rsidRPr="00195D25">
        <w:rPr>
          <w:rFonts w:ascii="Garamond" w:hAnsi="Garamond"/>
        </w:rPr>
        <w:t>record inflation</w:t>
      </w:r>
      <w:r w:rsidRPr="00195D25">
        <w:rPr>
          <w:rFonts w:ascii="Garamond" w:hAnsi="Garamond"/>
        </w:rPr>
        <w:t xml:space="preserve"> costs on material goods</w:t>
      </w:r>
      <w:r w:rsidR="007127BF" w:rsidRPr="00195D25">
        <w:rPr>
          <w:rFonts w:ascii="Garamond" w:hAnsi="Garamond"/>
        </w:rPr>
        <w:t xml:space="preserve">, </w:t>
      </w:r>
      <w:r w:rsidR="00B7008A" w:rsidRPr="00195D25">
        <w:rPr>
          <w:rFonts w:ascii="Garamond" w:hAnsi="Garamond"/>
        </w:rPr>
        <w:t xml:space="preserve">growing customer service demands, </w:t>
      </w:r>
      <w:r w:rsidRPr="00195D25">
        <w:rPr>
          <w:rFonts w:ascii="Garamond" w:hAnsi="Garamond"/>
        </w:rPr>
        <w:t xml:space="preserve">increasingly stringent federal and state </w:t>
      </w:r>
      <w:r w:rsidR="00B7008A" w:rsidRPr="00195D25">
        <w:rPr>
          <w:rFonts w:ascii="Garamond" w:hAnsi="Garamond"/>
        </w:rPr>
        <w:t xml:space="preserve">regulations, and increased state oversite and </w:t>
      </w:r>
      <w:r w:rsidR="006D7F91" w:rsidRPr="00195D25">
        <w:rPr>
          <w:rFonts w:ascii="Garamond" w:hAnsi="Garamond"/>
        </w:rPr>
        <w:t>inspections</w:t>
      </w:r>
      <w:r w:rsidR="00B7008A" w:rsidRPr="00195D25">
        <w:rPr>
          <w:rFonts w:ascii="Garamond" w:hAnsi="Garamond"/>
        </w:rPr>
        <w:t>.</w:t>
      </w:r>
    </w:p>
    <w:p w14:paraId="65A934C4" w14:textId="4FCCBB47" w:rsidR="00B7008A" w:rsidRPr="00195D25" w:rsidRDefault="00B7008A">
      <w:pPr>
        <w:rPr>
          <w:rFonts w:ascii="Garamond" w:hAnsi="Garamond"/>
        </w:rPr>
      </w:pPr>
      <w:r w:rsidRPr="00195D25">
        <w:rPr>
          <w:rFonts w:ascii="Garamond" w:hAnsi="Garamond"/>
        </w:rPr>
        <w:t xml:space="preserve">The District has two </w:t>
      </w:r>
      <w:r w:rsidR="005013F7" w:rsidRPr="00195D25">
        <w:rPr>
          <w:rFonts w:ascii="Garamond" w:hAnsi="Garamond"/>
        </w:rPr>
        <w:t xml:space="preserve">overarching priorities: </w:t>
      </w:r>
      <w:r w:rsidR="00A21C3D">
        <w:rPr>
          <w:rFonts w:ascii="Garamond" w:hAnsi="Garamond"/>
        </w:rPr>
        <w:t>f</w:t>
      </w:r>
      <w:r w:rsidR="005013F7" w:rsidRPr="00195D25">
        <w:rPr>
          <w:rFonts w:ascii="Garamond" w:hAnsi="Garamond"/>
        </w:rPr>
        <w:t>irst, to continue to provide safe and reliable services to our existing customer base</w:t>
      </w:r>
      <w:r w:rsidR="00A21C3D">
        <w:rPr>
          <w:rFonts w:ascii="Garamond" w:hAnsi="Garamond"/>
        </w:rPr>
        <w:t xml:space="preserve"> and s</w:t>
      </w:r>
      <w:r w:rsidR="005013F7" w:rsidRPr="00195D25">
        <w:rPr>
          <w:rFonts w:ascii="Garamond" w:hAnsi="Garamond"/>
        </w:rPr>
        <w:t xml:space="preserve">econd, to meet the </w:t>
      </w:r>
      <w:r w:rsidR="006D7F91" w:rsidRPr="00195D25">
        <w:rPr>
          <w:rFonts w:ascii="Garamond" w:hAnsi="Garamond"/>
        </w:rPr>
        <w:t>long</w:t>
      </w:r>
      <w:r w:rsidR="00561A61" w:rsidRPr="00195D25">
        <w:rPr>
          <w:rFonts w:ascii="Garamond" w:hAnsi="Garamond"/>
        </w:rPr>
        <w:t>-</w:t>
      </w:r>
      <w:r w:rsidR="006D7F91" w:rsidRPr="00195D25">
        <w:rPr>
          <w:rFonts w:ascii="Garamond" w:hAnsi="Garamond"/>
        </w:rPr>
        <w:t xml:space="preserve">term </w:t>
      </w:r>
      <w:r w:rsidR="00D51122">
        <w:rPr>
          <w:rFonts w:ascii="Garamond" w:hAnsi="Garamond"/>
        </w:rPr>
        <w:t>service needs</w:t>
      </w:r>
      <w:r w:rsidR="005013F7" w:rsidRPr="00195D25">
        <w:rPr>
          <w:rFonts w:ascii="Garamond" w:hAnsi="Garamond"/>
        </w:rPr>
        <w:t xml:space="preserve"> of the growing community</w:t>
      </w:r>
      <w:r w:rsidR="007D5B5C" w:rsidRPr="00195D25">
        <w:rPr>
          <w:rFonts w:ascii="Garamond" w:hAnsi="Garamond"/>
        </w:rPr>
        <w:t xml:space="preserve">. </w:t>
      </w:r>
      <w:r w:rsidR="005013F7" w:rsidRPr="00195D25">
        <w:rPr>
          <w:rFonts w:ascii="Garamond" w:hAnsi="Garamond"/>
        </w:rPr>
        <w:t xml:space="preserve">While </w:t>
      </w:r>
      <w:r w:rsidR="00561A61" w:rsidRPr="00195D25">
        <w:rPr>
          <w:rFonts w:ascii="Garamond" w:hAnsi="Garamond"/>
        </w:rPr>
        <w:t>the District has</w:t>
      </w:r>
      <w:r w:rsidR="005013F7" w:rsidRPr="00195D25">
        <w:rPr>
          <w:rFonts w:ascii="Garamond" w:hAnsi="Garamond"/>
        </w:rPr>
        <w:t xml:space="preserve"> addressed water production</w:t>
      </w:r>
      <w:r w:rsidR="00D51122">
        <w:rPr>
          <w:rFonts w:ascii="Garamond" w:hAnsi="Garamond"/>
        </w:rPr>
        <w:t xml:space="preserve"> sufficiency by developing</w:t>
      </w:r>
      <w:r w:rsidR="005013F7" w:rsidRPr="00195D25">
        <w:rPr>
          <w:rFonts w:ascii="Garamond" w:hAnsi="Garamond"/>
        </w:rPr>
        <w:t xml:space="preserve"> new wells, </w:t>
      </w:r>
      <w:r w:rsidR="00561A61" w:rsidRPr="00195D25">
        <w:rPr>
          <w:rFonts w:ascii="Garamond" w:hAnsi="Garamond"/>
        </w:rPr>
        <w:t xml:space="preserve">the </w:t>
      </w:r>
      <w:r w:rsidR="005013F7" w:rsidRPr="00195D25">
        <w:rPr>
          <w:rFonts w:ascii="Garamond" w:hAnsi="Garamond"/>
        </w:rPr>
        <w:t xml:space="preserve">wastewater systems are operating at near capacity during the summer and require </w:t>
      </w:r>
      <w:r w:rsidR="00561A61" w:rsidRPr="00195D25">
        <w:rPr>
          <w:rFonts w:ascii="Garamond" w:hAnsi="Garamond"/>
        </w:rPr>
        <w:t xml:space="preserve">significant </w:t>
      </w:r>
      <w:r w:rsidR="005013F7" w:rsidRPr="00195D25">
        <w:rPr>
          <w:rFonts w:ascii="Garamond" w:hAnsi="Garamond"/>
        </w:rPr>
        <w:t>capital investment</w:t>
      </w:r>
      <w:r w:rsidR="008F4284">
        <w:rPr>
          <w:rFonts w:ascii="Garamond" w:hAnsi="Garamond"/>
        </w:rPr>
        <w:t xml:space="preserve"> to keep pace with community growth</w:t>
      </w:r>
      <w:r w:rsidR="007D5B5C" w:rsidRPr="00195D25">
        <w:rPr>
          <w:rFonts w:ascii="Garamond" w:hAnsi="Garamond"/>
        </w:rPr>
        <w:t xml:space="preserve">. </w:t>
      </w:r>
      <w:r w:rsidR="00561A61" w:rsidRPr="00195D25">
        <w:rPr>
          <w:rFonts w:ascii="Garamond" w:hAnsi="Garamond"/>
        </w:rPr>
        <w:t xml:space="preserve">The community saw </w:t>
      </w:r>
      <w:r w:rsidR="005013F7" w:rsidRPr="00195D25">
        <w:rPr>
          <w:rFonts w:ascii="Garamond" w:hAnsi="Garamond"/>
        </w:rPr>
        <w:t>meaningful signs of growth</w:t>
      </w:r>
      <w:r w:rsidR="00561A61" w:rsidRPr="00195D25">
        <w:rPr>
          <w:rFonts w:ascii="Garamond" w:hAnsi="Garamond"/>
        </w:rPr>
        <w:t xml:space="preserve"> in 2021</w:t>
      </w:r>
      <w:r w:rsidR="005013F7" w:rsidRPr="00195D25">
        <w:rPr>
          <w:rFonts w:ascii="Garamond" w:hAnsi="Garamond"/>
        </w:rPr>
        <w:t xml:space="preserve"> with both homes and lots turning over at rates not seen in 10 years. </w:t>
      </w:r>
      <w:r w:rsidR="00561A61" w:rsidRPr="00195D25">
        <w:rPr>
          <w:rFonts w:ascii="Garamond" w:hAnsi="Garamond"/>
        </w:rPr>
        <w:t>There are</w:t>
      </w:r>
      <w:r w:rsidR="005013F7" w:rsidRPr="00195D25">
        <w:rPr>
          <w:rFonts w:ascii="Garamond" w:hAnsi="Garamond"/>
        </w:rPr>
        <w:t xml:space="preserve"> multiple homes under construction and the Nakoma Resort</w:t>
      </w:r>
      <w:r w:rsidR="007127BF" w:rsidRPr="00195D25">
        <w:rPr>
          <w:rFonts w:ascii="Garamond" w:hAnsi="Garamond"/>
        </w:rPr>
        <w:t xml:space="preserve"> is operating an array of </w:t>
      </w:r>
      <w:r w:rsidR="00C6741D" w:rsidRPr="00195D25">
        <w:rPr>
          <w:rFonts w:ascii="Garamond" w:hAnsi="Garamond"/>
        </w:rPr>
        <w:t>first</w:t>
      </w:r>
      <w:r w:rsidR="00C6741D">
        <w:rPr>
          <w:rFonts w:ascii="Garamond" w:hAnsi="Garamond"/>
        </w:rPr>
        <w:t>-class</w:t>
      </w:r>
      <w:r w:rsidR="007127BF" w:rsidRPr="00195D25">
        <w:rPr>
          <w:rFonts w:ascii="Garamond" w:hAnsi="Garamond"/>
        </w:rPr>
        <w:t xml:space="preserve"> facilities and </w:t>
      </w:r>
      <w:r w:rsidR="00EF5458" w:rsidRPr="00195D25">
        <w:rPr>
          <w:rFonts w:ascii="Garamond" w:hAnsi="Garamond"/>
        </w:rPr>
        <w:t>anticipat</w:t>
      </w:r>
      <w:r w:rsidR="00A21C3D">
        <w:rPr>
          <w:rFonts w:ascii="Garamond" w:hAnsi="Garamond"/>
        </w:rPr>
        <w:t>ing</w:t>
      </w:r>
      <w:r w:rsidR="007127BF" w:rsidRPr="00195D25">
        <w:rPr>
          <w:rFonts w:ascii="Garamond" w:hAnsi="Garamond"/>
        </w:rPr>
        <w:t xml:space="preserve"> future growth</w:t>
      </w:r>
      <w:r w:rsidR="007D5B5C" w:rsidRPr="00195D25">
        <w:rPr>
          <w:rFonts w:ascii="Garamond" w:hAnsi="Garamond"/>
        </w:rPr>
        <w:t xml:space="preserve">. </w:t>
      </w:r>
      <w:r w:rsidR="007127BF" w:rsidRPr="00195D25">
        <w:rPr>
          <w:rFonts w:ascii="Garamond" w:hAnsi="Garamond"/>
        </w:rPr>
        <w:t xml:space="preserve">It is imperative that the District be able to </w:t>
      </w:r>
      <w:r w:rsidR="00561A61" w:rsidRPr="00195D25">
        <w:rPr>
          <w:rFonts w:ascii="Garamond" w:hAnsi="Garamond"/>
        </w:rPr>
        <w:t>meet current demand and s</w:t>
      </w:r>
      <w:r w:rsidR="007127BF" w:rsidRPr="00195D25">
        <w:rPr>
          <w:rFonts w:ascii="Garamond" w:hAnsi="Garamond"/>
        </w:rPr>
        <w:t xml:space="preserve">tay ahead of </w:t>
      </w:r>
      <w:r w:rsidR="00561A61" w:rsidRPr="00195D25">
        <w:rPr>
          <w:rFonts w:ascii="Garamond" w:hAnsi="Garamond"/>
        </w:rPr>
        <w:t xml:space="preserve">growth </w:t>
      </w:r>
      <w:r w:rsidR="007127BF" w:rsidRPr="00195D25">
        <w:rPr>
          <w:rFonts w:ascii="Garamond" w:hAnsi="Garamond"/>
        </w:rPr>
        <w:t xml:space="preserve">over the next </w:t>
      </w:r>
      <w:r w:rsidR="00561A61" w:rsidRPr="00195D25">
        <w:rPr>
          <w:rFonts w:ascii="Garamond" w:hAnsi="Garamond"/>
        </w:rPr>
        <w:t>five</w:t>
      </w:r>
      <w:r w:rsidR="007127BF" w:rsidRPr="00195D25">
        <w:rPr>
          <w:rFonts w:ascii="Garamond" w:hAnsi="Garamond"/>
        </w:rPr>
        <w:t xml:space="preserve"> years. </w:t>
      </w:r>
      <w:r w:rsidR="00C32689" w:rsidRPr="00195D25">
        <w:rPr>
          <w:rFonts w:ascii="Garamond" w:hAnsi="Garamond"/>
        </w:rPr>
        <w:t>The ability to provide reliable services to the community has a direct and measurable impact on property values</w:t>
      </w:r>
      <w:r w:rsidR="007D5B5C" w:rsidRPr="00195D25">
        <w:rPr>
          <w:rFonts w:ascii="Garamond" w:hAnsi="Garamond"/>
        </w:rPr>
        <w:t xml:space="preserve">. </w:t>
      </w:r>
      <w:r w:rsidR="00561A61" w:rsidRPr="00195D25">
        <w:rPr>
          <w:rFonts w:ascii="Garamond" w:hAnsi="Garamond"/>
        </w:rPr>
        <w:t xml:space="preserve">The District </w:t>
      </w:r>
      <w:r w:rsidR="008F4284">
        <w:rPr>
          <w:rFonts w:ascii="Garamond" w:hAnsi="Garamond"/>
        </w:rPr>
        <w:t xml:space="preserve">also </w:t>
      </w:r>
      <w:r w:rsidR="00561A61" w:rsidRPr="00195D25">
        <w:rPr>
          <w:rFonts w:ascii="Garamond" w:hAnsi="Garamond"/>
        </w:rPr>
        <w:t>has a responsibility to service the</w:t>
      </w:r>
      <w:r w:rsidR="00C32689" w:rsidRPr="00195D25">
        <w:rPr>
          <w:rFonts w:ascii="Garamond" w:hAnsi="Garamond"/>
        </w:rPr>
        <w:t xml:space="preserve"> Nakoma Community Association and </w:t>
      </w:r>
      <w:r w:rsidR="00561A61" w:rsidRPr="00195D25">
        <w:rPr>
          <w:rFonts w:ascii="Garamond" w:hAnsi="Garamond"/>
        </w:rPr>
        <w:t>Nakoma</w:t>
      </w:r>
      <w:r w:rsidR="00C32689" w:rsidRPr="00195D25">
        <w:rPr>
          <w:rFonts w:ascii="Garamond" w:hAnsi="Garamond"/>
        </w:rPr>
        <w:t xml:space="preserve"> Resort to maintain the community’s premier status. </w:t>
      </w:r>
    </w:p>
    <w:p w14:paraId="723F8250" w14:textId="354C170C" w:rsidR="00C32689" w:rsidRPr="00195D25" w:rsidRDefault="00CA728F" w:rsidP="00195D25">
      <w:pPr>
        <w:pStyle w:val="NoSpacing"/>
        <w:rPr>
          <w:rFonts w:ascii="Arial Narrow" w:hAnsi="Arial Narrow"/>
          <w:b/>
          <w:bCs/>
        </w:rPr>
      </w:pPr>
      <w:r w:rsidRPr="00195D25">
        <w:rPr>
          <w:rFonts w:ascii="Arial Narrow" w:hAnsi="Arial Narrow"/>
          <w:b/>
          <w:bCs/>
        </w:rPr>
        <w:t xml:space="preserve">Significant </w:t>
      </w:r>
      <w:r w:rsidR="00C32689" w:rsidRPr="00195D25">
        <w:rPr>
          <w:rFonts w:ascii="Arial Narrow" w:hAnsi="Arial Narrow"/>
          <w:b/>
          <w:bCs/>
        </w:rPr>
        <w:t>Factoids</w:t>
      </w:r>
      <w:r w:rsidRPr="00195D25">
        <w:rPr>
          <w:rFonts w:ascii="Arial Narrow" w:hAnsi="Arial Narrow"/>
          <w:b/>
          <w:bCs/>
        </w:rPr>
        <w:t xml:space="preserve"> Impacting Cost of Service</w:t>
      </w:r>
    </w:p>
    <w:p w14:paraId="3B9DAB3A" w14:textId="179DA2D5" w:rsidR="00C32689" w:rsidRPr="009B76D8" w:rsidRDefault="008B45DB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9B76D8">
        <w:rPr>
          <w:rFonts w:ascii="Garamond" w:hAnsi="Garamond"/>
          <w:b/>
          <w:bCs/>
          <w:i/>
          <w:iCs/>
        </w:rPr>
        <w:t>Cost of living</w:t>
      </w:r>
      <w:r w:rsidRPr="009B76D8">
        <w:rPr>
          <w:rFonts w:ascii="Garamond" w:hAnsi="Garamond"/>
        </w:rPr>
        <w:t xml:space="preserve"> – the overall inflation rate in California averaged 1.78% per year since 2010 resulting in a 21.4% increase in cost</w:t>
      </w:r>
      <w:r w:rsidR="00343C1E" w:rsidRPr="009B76D8">
        <w:rPr>
          <w:rFonts w:ascii="Garamond" w:hAnsi="Garamond"/>
        </w:rPr>
        <w:t xml:space="preserve">. </w:t>
      </w:r>
      <w:r w:rsidR="00A21C3D" w:rsidRPr="009B76D8">
        <w:rPr>
          <w:rFonts w:ascii="Garamond" w:hAnsi="Garamond"/>
        </w:rPr>
        <w:t>I</w:t>
      </w:r>
      <w:r w:rsidR="00227BA5" w:rsidRPr="009B76D8">
        <w:rPr>
          <w:rFonts w:ascii="Garamond" w:hAnsi="Garamond"/>
        </w:rPr>
        <w:t>nflation is projected to exceed 5% per year over the next 5 years.</w:t>
      </w:r>
    </w:p>
    <w:p w14:paraId="4758AAAB" w14:textId="0FCBCAE9" w:rsidR="00820196" w:rsidRPr="00CA101E" w:rsidRDefault="00820196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CA101E">
        <w:rPr>
          <w:rFonts w:ascii="Garamond" w:hAnsi="Garamond"/>
          <w:b/>
          <w:bCs/>
          <w:i/>
          <w:iCs/>
        </w:rPr>
        <w:lastRenderedPageBreak/>
        <w:t>Cost of Electricity</w:t>
      </w:r>
      <w:r w:rsidRPr="00CA101E">
        <w:rPr>
          <w:rFonts w:ascii="Garamond" w:hAnsi="Garamond"/>
        </w:rPr>
        <w:t xml:space="preserve"> - California electricity </w:t>
      </w:r>
      <w:r w:rsidR="00C6741D" w:rsidRPr="00CA101E">
        <w:rPr>
          <w:rFonts w:ascii="Garamond" w:hAnsi="Garamond"/>
        </w:rPr>
        <w:t>rates have</w:t>
      </w:r>
      <w:r w:rsidRPr="00CA101E">
        <w:rPr>
          <w:rFonts w:ascii="Garamond" w:hAnsi="Garamond"/>
        </w:rPr>
        <w:t xml:space="preserve"> increased from 14.75 cents per kilowatt hour in 2010, to 21.43 cents per kilowatt hour in </w:t>
      </w:r>
      <w:r w:rsidR="00F65D95" w:rsidRPr="00CA101E">
        <w:rPr>
          <w:rFonts w:ascii="Garamond" w:hAnsi="Garamond"/>
        </w:rPr>
        <w:t>2021</w:t>
      </w:r>
      <w:r w:rsidRPr="00CA101E">
        <w:rPr>
          <w:rFonts w:ascii="Garamond" w:hAnsi="Garamond"/>
        </w:rPr>
        <w:t xml:space="preserve">– representing a 45% increase in the </w:t>
      </w:r>
      <w:r w:rsidR="00CF5609" w:rsidRPr="00CA101E">
        <w:rPr>
          <w:rFonts w:ascii="Garamond" w:hAnsi="Garamond"/>
        </w:rPr>
        <w:t xml:space="preserve">electrical </w:t>
      </w:r>
      <w:r w:rsidR="00EF5458" w:rsidRPr="00CA101E">
        <w:rPr>
          <w:rFonts w:ascii="Garamond" w:hAnsi="Garamond"/>
        </w:rPr>
        <w:t xml:space="preserve">operating </w:t>
      </w:r>
      <w:r w:rsidRPr="00CA101E">
        <w:rPr>
          <w:rFonts w:ascii="Garamond" w:hAnsi="Garamond"/>
        </w:rPr>
        <w:t xml:space="preserve">cost of </w:t>
      </w:r>
      <w:r w:rsidR="00EF5458" w:rsidRPr="00CA101E">
        <w:rPr>
          <w:rFonts w:ascii="Garamond" w:hAnsi="Garamond"/>
        </w:rPr>
        <w:t>the</w:t>
      </w:r>
      <w:r w:rsidRPr="00CA101E">
        <w:rPr>
          <w:rFonts w:ascii="Garamond" w:hAnsi="Garamond"/>
        </w:rPr>
        <w:t xml:space="preserve"> pressurized water and sewer systems.</w:t>
      </w:r>
    </w:p>
    <w:p w14:paraId="42877E23" w14:textId="653FE414" w:rsidR="00820196" w:rsidRPr="00CA101E" w:rsidRDefault="00820196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CA101E">
        <w:rPr>
          <w:rFonts w:ascii="Garamond" w:hAnsi="Garamond"/>
          <w:b/>
          <w:bCs/>
          <w:i/>
          <w:iCs/>
        </w:rPr>
        <w:t>Aging infrastructure</w:t>
      </w:r>
      <w:r w:rsidRPr="00CA101E">
        <w:rPr>
          <w:rFonts w:ascii="Garamond" w:hAnsi="Garamond"/>
        </w:rPr>
        <w:t xml:space="preserve"> – GMCSD system maintenance costs have increased 40% since 2010. </w:t>
      </w:r>
      <w:r w:rsidR="00EF5458" w:rsidRPr="00CA101E">
        <w:rPr>
          <w:rFonts w:ascii="Garamond" w:hAnsi="Garamond"/>
        </w:rPr>
        <w:t>While c</w:t>
      </w:r>
      <w:r w:rsidRPr="00CA101E">
        <w:rPr>
          <w:rFonts w:ascii="Garamond" w:hAnsi="Garamond"/>
        </w:rPr>
        <w:t>onsidered relatively new infrastructure in 2010</w:t>
      </w:r>
      <w:r w:rsidR="00EF5458" w:rsidRPr="00CA101E">
        <w:rPr>
          <w:rFonts w:ascii="Garamond" w:hAnsi="Garamond"/>
        </w:rPr>
        <w:t>,</w:t>
      </w:r>
      <w:r w:rsidRPr="00CA101E">
        <w:rPr>
          <w:rFonts w:ascii="Garamond" w:hAnsi="Garamond"/>
        </w:rPr>
        <w:t xml:space="preserve"> </w:t>
      </w:r>
      <w:r w:rsidR="00EF5458" w:rsidRPr="00CA101E">
        <w:rPr>
          <w:rFonts w:ascii="Garamond" w:hAnsi="Garamond"/>
        </w:rPr>
        <w:t>the infrastructure has</w:t>
      </w:r>
      <w:r w:rsidR="00F65D95" w:rsidRPr="00CA101E">
        <w:rPr>
          <w:rFonts w:ascii="Garamond" w:hAnsi="Garamond"/>
        </w:rPr>
        <w:t xml:space="preserve"> now</w:t>
      </w:r>
      <w:r w:rsidR="00EF5458" w:rsidRPr="00CA101E">
        <w:rPr>
          <w:rFonts w:ascii="Garamond" w:hAnsi="Garamond"/>
        </w:rPr>
        <w:t xml:space="preserve"> been in place over </w:t>
      </w:r>
      <w:r w:rsidRPr="00CA101E">
        <w:rPr>
          <w:rFonts w:ascii="Garamond" w:hAnsi="Garamond"/>
        </w:rPr>
        <w:t>20 years.</w:t>
      </w:r>
      <w:r w:rsidR="00227BA5" w:rsidRPr="00CA101E">
        <w:rPr>
          <w:rFonts w:ascii="Garamond" w:hAnsi="Garamond"/>
        </w:rPr>
        <w:t xml:space="preserve"> The District </w:t>
      </w:r>
      <w:r w:rsidR="00CA728F" w:rsidRPr="00CA101E">
        <w:rPr>
          <w:rFonts w:ascii="Garamond" w:hAnsi="Garamond"/>
        </w:rPr>
        <w:t xml:space="preserve">currently </w:t>
      </w:r>
      <w:r w:rsidR="00227BA5" w:rsidRPr="00CA101E">
        <w:rPr>
          <w:rFonts w:ascii="Garamond" w:hAnsi="Garamond"/>
        </w:rPr>
        <w:t>experienc</w:t>
      </w:r>
      <w:r w:rsidR="00CA728F" w:rsidRPr="00CA101E">
        <w:rPr>
          <w:rFonts w:ascii="Garamond" w:hAnsi="Garamond"/>
        </w:rPr>
        <w:t>es</w:t>
      </w:r>
      <w:r w:rsidR="00227BA5" w:rsidRPr="00CA101E">
        <w:rPr>
          <w:rFonts w:ascii="Garamond" w:hAnsi="Garamond"/>
        </w:rPr>
        <w:t xml:space="preserve"> regular valve and pump failures due to age. </w:t>
      </w:r>
    </w:p>
    <w:p w14:paraId="43DFD8A6" w14:textId="1F8E463B" w:rsidR="00820196" w:rsidRPr="00195D25" w:rsidRDefault="00820196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CA101E">
        <w:rPr>
          <w:rFonts w:ascii="Garamond" w:hAnsi="Garamond"/>
          <w:b/>
          <w:bCs/>
          <w:i/>
          <w:iCs/>
        </w:rPr>
        <w:t>Increasing State mandates</w:t>
      </w:r>
      <w:r w:rsidRPr="00195D25">
        <w:rPr>
          <w:rFonts w:ascii="Garamond" w:hAnsi="Garamond"/>
        </w:rPr>
        <w:t xml:space="preserve"> – the requirements for inspections and reporting</w:t>
      </w:r>
      <w:r w:rsidR="00496C3F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increase year</w:t>
      </w:r>
      <w:r w:rsidR="00EF5458" w:rsidRPr="00195D25">
        <w:rPr>
          <w:rFonts w:ascii="Garamond" w:hAnsi="Garamond"/>
        </w:rPr>
        <w:t>ly</w:t>
      </w:r>
      <w:r w:rsidRPr="00195D25">
        <w:rPr>
          <w:rFonts w:ascii="Garamond" w:hAnsi="Garamond"/>
        </w:rPr>
        <w:t xml:space="preserve"> as the State of California </w:t>
      </w:r>
      <w:r w:rsidR="00496C3F">
        <w:rPr>
          <w:rFonts w:ascii="Garamond" w:hAnsi="Garamond"/>
        </w:rPr>
        <w:t xml:space="preserve">places additional </w:t>
      </w:r>
      <w:r w:rsidRPr="00195D25">
        <w:rPr>
          <w:rFonts w:ascii="Garamond" w:hAnsi="Garamond"/>
        </w:rPr>
        <w:t>emphasis on water safety and drought resil</w:t>
      </w:r>
      <w:r w:rsidR="00894FF2" w:rsidRPr="00195D25">
        <w:rPr>
          <w:rFonts w:ascii="Garamond" w:hAnsi="Garamond"/>
        </w:rPr>
        <w:t>ience.</w:t>
      </w:r>
    </w:p>
    <w:p w14:paraId="745BAAD0" w14:textId="6D97BE80" w:rsidR="00894FF2" w:rsidRPr="00195D25" w:rsidRDefault="00894FF2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CA101E">
        <w:rPr>
          <w:rFonts w:ascii="Garamond" w:hAnsi="Garamond"/>
          <w:b/>
          <w:bCs/>
          <w:i/>
          <w:iCs/>
        </w:rPr>
        <w:t>Increased staffing</w:t>
      </w:r>
      <w:r w:rsidRPr="00CA101E">
        <w:rPr>
          <w:rFonts w:ascii="Garamond" w:hAnsi="Garamond"/>
        </w:rPr>
        <w:t xml:space="preserve"> </w:t>
      </w:r>
      <w:r w:rsidRPr="00195D25">
        <w:rPr>
          <w:rFonts w:ascii="Garamond" w:hAnsi="Garamond"/>
        </w:rPr>
        <w:t xml:space="preserve">- In 2010, the District had the equivalent of </w:t>
      </w:r>
      <w:r w:rsidR="00CA728F" w:rsidRPr="00195D25">
        <w:rPr>
          <w:rFonts w:ascii="Garamond" w:hAnsi="Garamond"/>
        </w:rPr>
        <w:t xml:space="preserve">two </w:t>
      </w:r>
      <w:r w:rsidRPr="00195D25">
        <w:rPr>
          <w:rFonts w:ascii="Garamond" w:hAnsi="Garamond"/>
        </w:rPr>
        <w:t xml:space="preserve">full time employees. Due to </w:t>
      </w:r>
      <w:r w:rsidR="005B3FF8">
        <w:rPr>
          <w:rFonts w:ascii="Garamond" w:hAnsi="Garamond"/>
        </w:rPr>
        <w:t>aforementioned</w:t>
      </w:r>
      <w:r w:rsidRPr="00195D25">
        <w:rPr>
          <w:rFonts w:ascii="Garamond" w:hAnsi="Garamond"/>
        </w:rPr>
        <w:t xml:space="preserve"> pressures, </w:t>
      </w:r>
      <w:r w:rsidR="00EF5458" w:rsidRPr="00195D25">
        <w:rPr>
          <w:rFonts w:ascii="Garamond" w:hAnsi="Garamond"/>
        </w:rPr>
        <w:t xml:space="preserve">the District </w:t>
      </w:r>
      <w:r w:rsidR="0081055C">
        <w:rPr>
          <w:rFonts w:ascii="Garamond" w:hAnsi="Garamond"/>
        </w:rPr>
        <w:t xml:space="preserve">now </w:t>
      </w:r>
      <w:r w:rsidR="00EF5458" w:rsidRPr="00195D25">
        <w:rPr>
          <w:rFonts w:ascii="Garamond" w:hAnsi="Garamond"/>
        </w:rPr>
        <w:t>has</w:t>
      </w:r>
      <w:r w:rsidRPr="00195D25">
        <w:rPr>
          <w:rFonts w:ascii="Garamond" w:hAnsi="Garamond"/>
        </w:rPr>
        <w:t xml:space="preserve"> </w:t>
      </w:r>
      <w:r w:rsidR="00CA728F" w:rsidRPr="00195D25">
        <w:rPr>
          <w:rFonts w:ascii="Garamond" w:hAnsi="Garamond"/>
        </w:rPr>
        <w:t>four</w:t>
      </w:r>
      <w:r w:rsidRPr="00195D25">
        <w:rPr>
          <w:rFonts w:ascii="Garamond" w:hAnsi="Garamond"/>
        </w:rPr>
        <w:t xml:space="preserve"> full-time</w:t>
      </w:r>
      <w:r w:rsidR="00496C3F">
        <w:rPr>
          <w:rFonts w:ascii="Garamond" w:hAnsi="Garamond"/>
        </w:rPr>
        <w:t xml:space="preserve"> employees</w:t>
      </w:r>
      <w:r w:rsidR="00CA728F" w:rsidRPr="00195D25">
        <w:rPr>
          <w:rFonts w:ascii="Garamond" w:hAnsi="Garamond"/>
        </w:rPr>
        <w:t xml:space="preserve"> and </w:t>
      </w:r>
      <w:r w:rsidR="00496C3F">
        <w:rPr>
          <w:rFonts w:ascii="Garamond" w:hAnsi="Garamond"/>
        </w:rPr>
        <w:t>two</w:t>
      </w:r>
      <w:r w:rsidR="00CA728F" w:rsidRPr="00195D25">
        <w:rPr>
          <w:rFonts w:ascii="Garamond" w:hAnsi="Garamond"/>
        </w:rPr>
        <w:t xml:space="preserve"> part-time </w:t>
      </w:r>
      <w:r w:rsidRPr="00195D25">
        <w:rPr>
          <w:rFonts w:ascii="Garamond" w:hAnsi="Garamond"/>
        </w:rPr>
        <w:t>employee</w:t>
      </w:r>
      <w:r w:rsidR="00496C3F">
        <w:rPr>
          <w:rFonts w:ascii="Garamond" w:hAnsi="Garamond"/>
        </w:rPr>
        <w:t>s</w:t>
      </w:r>
      <w:r w:rsidR="00CA728F" w:rsidRPr="00195D25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</w:t>
      </w:r>
      <w:r w:rsidR="00496C3F">
        <w:rPr>
          <w:rFonts w:ascii="Garamond" w:hAnsi="Garamond"/>
        </w:rPr>
        <w:t>including</w:t>
      </w:r>
      <w:r w:rsidRPr="00195D25">
        <w:rPr>
          <w:rFonts w:ascii="Garamond" w:hAnsi="Garamond"/>
        </w:rPr>
        <w:t xml:space="preserve"> a part</w:t>
      </w:r>
      <w:r w:rsidR="00CA728F" w:rsidRPr="00195D25">
        <w:rPr>
          <w:rFonts w:ascii="Garamond" w:hAnsi="Garamond"/>
        </w:rPr>
        <w:t>-</w:t>
      </w:r>
      <w:r w:rsidRPr="00195D25">
        <w:rPr>
          <w:rFonts w:ascii="Garamond" w:hAnsi="Garamond"/>
        </w:rPr>
        <w:t>time Fire Coordinator</w:t>
      </w:r>
      <w:r w:rsidR="00496C3F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to meet the array of new </w:t>
      </w:r>
      <w:r w:rsidR="00343C1E" w:rsidRPr="00195D25">
        <w:rPr>
          <w:rFonts w:ascii="Garamond" w:hAnsi="Garamond"/>
        </w:rPr>
        <w:t xml:space="preserve">and increasing </w:t>
      </w:r>
      <w:r w:rsidRPr="00195D25">
        <w:rPr>
          <w:rFonts w:ascii="Garamond" w:hAnsi="Garamond"/>
        </w:rPr>
        <w:t>requirements.</w:t>
      </w:r>
    </w:p>
    <w:p w14:paraId="06816F83" w14:textId="41332604" w:rsidR="00894FF2" w:rsidRPr="00195D25" w:rsidRDefault="00AE599B" w:rsidP="00195D25">
      <w:pPr>
        <w:pStyle w:val="NoSpacing"/>
        <w:rPr>
          <w:rFonts w:ascii="Arial Narrow" w:hAnsi="Arial Narrow"/>
          <w:b/>
          <w:bCs/>
        </w:rPr>
      </w:pPr>
      <w:r w:rsidRPr="00195D25">
        <w:rPr>
          <w:rFonts w:ascii="Arial Narrow" w:hAnsi="Arial Narrow"/>
          <w:b/>
          <w:bCs/>
        </w:rPr>
        <w:t xml:space="preserve">Current </w:t>
      </w:r>
      <w:r w:rsidR="00CA728F" w:rsidRPr="00195D25">
        <w:rPr>
          <w:rFonts w:ascii="Arial Narrow" w:hAnsi="Arial Narrow"/>
          <w:b/>
          <w:bCs/>
        </w:rPr>
        <w:t xml:space="preserve">Cost of Service and </w:t>
      </w:r>
      <w:r w:rsidR="00894FF2" w:rsidRPr="00195D25">
        <w:rPr>
          <w:rFonts w:ascii="Arial Narrow" w:hAnsi="Arial Narrow"/>
          <w:b/>
          <w:bCs/>
        </w:rPr>
        <w:t>Rate Study</w:t>
      </w:r>
    </w:p>
    <w:p w14:paraId="2DEC4432" w14:textId="6FAE587B" w:rsidR="00343C1E" w:rsidRPr="00195D25" w:rsidRDefault="00AE599B">
      <w:pPr>
        <w:rPr>
          <w:rFonts w:ascii="Garamond" w:hAnsi="Garamond"/>
        </w:rPr>
      </w:pPr>
      <w:r w:rsidRPr="00195D25">
        <w:rPr>
          <w:rFonts w:ascii="Garamond" w:hAnsi="Garamond"/>
        </w:rPr>
        <w:t>In 2021, the District conducted a thorough search and selection process to identify a</w:t>
      </w:r>
      <w:r w:rsidR="00894FF2" w:rsidRPr="00195D25">
        <w:rPr>
          <w:rFonts w:ascii="Garamond" w:hAnsi="Garamond"/>
        </w:rPr>
        <w:t xml:space="preserve"> </w:t>
      </w:r>
      <w:r w:rsidRPr="00195D25">
        <w:rPr>
          <w:rFonts w:ascii="Garamond" w:hAnsi="Garamond"/>
        </w:rPr>
        <w:t>consulting firm</w:t>
      </w:r>
      <w:r w:rsidR="00763C23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with experience working with small districts</w:t>
      </w:r>
      <w:r w:rsidR="00763C23">
        <w:rPr>
          <w:rFonts w:ascii="Garamond" w:hAnsi="Garamond"/>
        </w:rPr>
        <w:t>,</w:t>
      </w:r>
      <w:r w:rsidR="00E1216D" w:rsidRPr="00195D25">
        <w:rPr>
          <w:rFonts w:ascii="Garamond" w:hAnsi="Garamond"/>
        </w:rPr>
        <w:t xml:space="preserve"> to guide the GMCSD through the rate study process. </w:t>
      </w:r>
      <w:r w:rsidR="00EF5458" w:rsidRPr="00195D25">
        <w:rPr>
          <w:rFonts w:ascii="Garamond" w:hAnsi="Garamond"/>
        </w:rPr>
        <w:t>The last rate study was 15 years ago</w:t>
      </w:r>
      <w:r w:rsidR="00561A61" w:rsidRPr="00195D25">
        <w:rPr>
          <w:rFonts w:ascii="Garamond" w:hAnsi="Garamond"/>
        </w:rPr>
        <w:t xml:space="preserve">, </w:t>
      </w:r>
      <w:r w:rsidR="00763C23">
        <w:rPr>
          <w:rFonts w:ascii="Garamond" w:hAnsi="Garamond"/>
        </w:rPr>
        <w:t xml:space="preserve">well beyond the </w:t>
      </w:r>
      <w:r w:rsidR="00EF5458" w:rsidRPr="00195D25">
        <w:rPr>
          <w:rFonts w:ascii="Garamond" w:hAnsi="Garamond"/>
        </w:rPr>
        <w:t>best industry standards</w:t>
      </w:r>
      <w:r w:rsidR="00561A61" w:rsidRPr="00195D25">
        <w:rPr>
          <w:rFonts w:ascii="Garamond" w:hAnsi="Garamond"/>
        </w:rPr>
        <w:t xml:space="preserve"> </w:t>
      </w:r>
      <w:r w:rsidR="00763C23">
        <w:rPr>
          <w:rFonts w:ascii="Garamond" w:hAnsi="Garamond"/>
        </w:rPr>
        <w:t>of</w:t>
      </w:r>
      <w:r w:rsidR="00561A61" w:rsidRPr="00195D25">
        <w:rPr>
          <w:rFonts w:ascii="Garamond" w:hAnsi="Garamond"/>
        </w:rPr>
        <w:t xml:space="preserve"> every five years</w:t>
      </w:r>
      <w:r w:rsidR="007D5B5C" w:rsidRPr="00195D25">
        <w:rPr>
          <w:rFonts w:ascii="Garamond" w:hAnsi="Garamond"/>
        </w:rPr>
        <w:t xml:space="preserve">. </w:t>
      </w:r>
      <w:r w:rsidR="00561A61" w:rsidRPr="00195D25">
        <w:rPr>
          <w:rFonts w:ascii="Garamond" w:hAnsi="Garamond"/>
        </w:rPr>
        <w:t xml:space="preserve">The District </w:t>
      </w:r>
      <w:r w:rsidR="00E1216D" w:rsidRPr="00195D25">
        <w:rPr>
          <w:rFonts w:ascii="Garamond" w:hAnsi="Garamond"/>
        </w:rPr>
        <w:t xml:space="preserve">selected Hansford Economic Consulting (HEC) out of Truckee, primarily due to their excellent reputation </w:t>
      </w:r>
      <w:r w:rsidR="00343C1E" w:rsidRPr="00195D25">
        <w:rPr>
          <w:rFonts w:ascii="Garamond" w:hAnsi="Garamond"/>
        </w:rPr>
        <w:t xml:space="preserve">working </w:t>
      </w:r>
      <w:r w:rsidR="00E1216D" w:rsidRPr="00195D25">
        <w:rPr>
          <w:rFonts w:ascii="Garamond" w:hAnsi="Garamond"/>
        </w:rPr>
        <w:t xml:space="preserve">with small community districts </w:t>
      </w:r>
      <w:r w:rsidR="00343C1E" w:rsidRPr="00195D25">
        <w:rPr>
          <w:rFonts w:ascii="Garamond" w:hAnsi="Garamond"/>
        </w:rPr>
        <w:t>as well as</w:t>
      </w:r>
      <w:r w:rsidR="00E1216D" w:rsidRPr="00195D25">
        <w:rPr>
          <w:rFonts w:ascii="Garamond" w:hAnsi="Garamond"/>
        </w:rPr>
        <w:t xml:space="preserve"> their locality, allowing for in</w:t>
      </w:r>
      <w:r w:rsidR="00CA728F" w:rsidRPr="00195D25">
        <w:rPr>
          <w:rFonts w:ascii="Garamond" w:hAnsi="Garamond"/>
        </w:rPr>
        <w:t>-</w:t>
      </w:r>
      <w:r w:rsidR="00E1216D" w:rsidRPr="00195D25">
        <w:rPr>
          <w:rFonts w:ascii="Garamond" w:hAnsi="Garamond"/>
        </w:rPr>
        <w:t>person planning and consulting sessions</w:t>
      </w:r>
      <w:r w:rsidR="007D5B5C" w:rsidRPr="00195D25">
        <w:rPr>
          <w:rFonts w:ascii="Garamond" w:hAnsi="Garamond"/>
        </w:rPr>
        <w:t xml:space="preserve">. </w:t>
      </w:r>
    </w:p>
    <w:p w14:paraId="77085635" w14:textId="248893EF" w:rsidR="00BE68C4" w:rsidRPr="00195D25" w:rsidRDefault="00BE68C4">
      <w:pPr>
        <w:rPr>
          <w:rFonts w:ascii="Garamond" w:hAnsi="Garamond"/>
        </w:rPr>
      </w:pPr>
      <w:r w:rsidRPr="00195D25">
        <w:rPr>
          <w:rFonts w:ascii="Garamond" w:hAnsi="Garamond"/>
        </w:rPr>
        <w:t>The District operates with two funds</w:t>
      </w:r>
      <w:r w:rsidR="00CA728F" w:rsidRPr="00195D25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which by law</w:t>
      </w:r>
      <w:r w:rsidR="00CA728F" w:rsidRPr="00195D25">
        <w:rPr>
          <w:rFonts w:ascii="Garamond" w:hAnsi="Garamond"/>
        </w:rPr>
        <w:t>,</w:t>
      </w:r>
      <w:r w:rsidRPr="00195D25">
        <w:rPr>
          <w:rFonts w:ascii="Garamond" w:hAnsi="Garamond"/>
        </w:rPr>
        <w:t xml:space="preserve"> </w:t>
      </w:r>
      <w:r w:rsidR="00CA728F" w:rsidRPr="00195D25">
        <w:rPr>
          <w:rFonts w:ascii="Garamond" w:hAnsi="Garamond"/>
        </w:rPr>
        <w:t xml:space="preserve">cannot </w:t>
      </w:r>
      <w:r w:rsidRPr="00195D25">
        <w:rPr>
          <w:rFonts w:ascii="Garamond" w:hAnsi="Garamond"/>
        </w:rPr>
        <w:t>be commingled</w:t>
      </w:r>
      <w:r w:rsidR="007D5B5C" w:rsidRPr="00195D25">
        <w:rPr>
          <w:rFonts w:ascii="Garamond" w:hAnsi="Garamond"/>
        </w:rPr>
        <w:t xml:space="preserve">. </w:t>
      </w:r>
      <w:r w:rsidRPr="00195D25">
        <w:rPr>
          <w:rFonts w:ascii="Garamond" w:hAnsi="Garamond"/>
        </w:rPr>
        <w:t>The Government Fund</w:t>
      </w:r>
      <w:r w:rsidR="00CA728F" w:rsidRPr="00195D25">
        <w:rPr>
          <w:rFonts w:ascii="Garamond" w:hAnsi="Garamond"/>
        </w:rPr>
        <w:t xml:space="preserve"> is </w:t>
      </w:r>
      <w:r w:rsidRPr="00195D25">
        <w:rPr>
          <w:rFonts w:ascii="Garamond" w:hAnsi="Garamond"/>
        </w:rPr>
        <w:t>funded through the District</w:t>
      </w:r>
      <w:r w:rsidR="00CA728F" w:rsidRPr="00195D25">
        <w:rPr>
          <w:rFonts w:ascii="Garamond" w:hAnsi="Garamond"/>
        </w:rPr>
        <w:t>’</w:t>
      </w:r>
      <w:r w:rsidRPr="00195D25">
        <w:rPr>
          <w:rFonts w:ascii="Garamond" w:hAnsi="Garamond"/>
        </w:rPr>
        <w:t>s Fire Tax billed by Plumas County and used for Fire Protection and Prevention purposes</w:t>
      </w:r>
      <w:r w:rsidR="00EF5458" w:rsidRPr="00195D25">
        <w:rPr>
          <w:rFonts w:ascii="Garamond" w:hAnsi="Garamond"/>
        </w:rPr>
        <w:t>. The District uses</w:t>
      </w:r>
      <w:r w:rsidRPr="00195D25">
        <w:rPr>
          <w:rFonts w:ascii="Garamond" w:hAnsi="Garamond"/>
        </w:rPr>
        <w:t xml:space="preserve"> an Enterprise Fund for water and sewer</w:t>
      </w:r>
      <w:r w:rsidR="00EF5458" w:rsidRPr="00195D25">
        <w:rPr>
          <w:rFonts w:ascii="Garamond" w:hAnsi="Garamond"/>
        </w:rPr>
        <w:t xml:space="preserve"> operations and maintenance, which is</w:t>
      </w:r>
      <w:r w:rsidRPr="00195D25">
        <w:rPr>
          <w:rFonts w:ascii="Garamond" w:hAnsi="Garamond"/>
        </w:rPr>
        <w:t xml:space="preserve"> funded through quarterly rates and assessments. </w:t>
      </w:r>
      <w:r w:rsidR="00561A61" w:rsidRPr="00C6741D">
        <w:rPr>
          <w:rFonts w:ascii="Garamond" w:hAnsi="Garamond"/>
          <w:b/>
          <w:bCs/>
        </w:rPr>
        <w:t xml:space="preserve">The </w:t>
      </w:r>
      <w:r w:rsidR="00343C1E" w:rsidRPr="00C6741D">
        <w:rPr>
          <w:rFonts w:ascii="Garamond" w:hAnsi="Garamond"/>
          <w:b/>
          <w:bCs/>
        </w:rPr>
        <w:t>rate study is focused on only the water and sewer Enterprise Fund</w:t>
      </w:r>
      <w:r w:rsidR="00343C1E" w:rsidRPr="00195D25">
        <w:rPr>
          <w:rFonts w:ascii="Garamond" w:hAnsi="Garamond"/>
        </w:rPr>
        <w:t>.</w:t>
      </w:r>
    </w:p>
    <w:p w14:paraId="1DDDB8BF" w14:textId="0F027BFA" w:rsidR="00894FF2" w:rsidRPr="00195D25" w:rsidRDefault="00561A61" w:rsidP="00FD5746">
      <w:pPr>
        <w:spacing w:after="0"/>
        <w:rPr>
          <w:rFonts w:ascii="Garamond" w:hAnsi="Garamond"/>
        </w:rPr>
      </w:pPr>
      <w:r w:rsidRPr="00195D25">
        <w:rPr>
          <w:rFonts w:ascii="Garamond" w:hAnsi="Garamond"/>
        </w:rPr>
        <w:t xml:space="preserve">The </w:t>
      </w:r>
      <w:r w:rsidR="00CA728F" w:rsidRPr="00195D25">
        <w:rPr>
          <w:rFonts w:ascii="Garamond" w:hAnsi="Garamond"/>
        </w:rPr>
        <w:t>cost of service and rate study examined</w:t>
      </w:r>
      <w:r w:rsidR="0051675F" w:rsidRPr="00195D25">
        <w:rPr>
          <w:rFonts w:ascii="Garamond" w:hAnsi="Garamond"/>
        </w:rPr>
        <w:t xml:space="preserve"> all </w:t>
      </w:r>
      <w:r w:rsidR="00BE68C4" w:rsidRPr="00195D25">
        <w:rPr>
          <w:rFonts w:ascii="Garamond" w:hAnsi="Garamond"/>
        </w:rPr>
        <w:t xml:space="preserve">aspects of </w:t>
      </w:r>
      <w:r w:rsidR="00FD5746" w:rsidRPr="00195D25">
        <w:rPr>
          <w:rFonts w:ascii="Garamond" w:hAnsi="Garamond"/>
        </w:rPr>
        <w:t xml:space="preserve">the water and sewer </w:t>
      </w:r>
      <w:r w:rsidR="00343C1E" w:rsidRPr="00195D25">
        <w:rPr>
          <w:rFonts w:ascii="Garamond" w:hAnsi="Garamond"/>
        </w:rPr>
        <w:t>accounts including</w:t>
      </w:r>
      <w:r w:rsidR="00BE68C4" w:rsidRPr="00195D25">
        <w:rPr>
          <w:rFonts w:ascii="Garamond" w:hAnsi="Garamond"/>
        </w:rPr>
        <w:t xml:space="preserve">: </w:t>
      </w:r>
    </w:p>
    <w:p w14:paraId="4754D171" w14:textId="247DF2FA" w:rsidR="00F376D9" w:rsidRPr="00195D25" w:rsidRDefault="00F376D9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195D25">
        <w:rPr>
          <w:rFonts w:ascii="Garamond" w:hAnsi="Garamond"/>
        </w:rPr>
        <w:t xml:space="preserve">Revenue sufficiency – both operations and maintenance - in line with current State statutes </w:t>
      </w:r>
    </w:p>
    <w:p w14:paraId="49E1AB2E" w14:textId="35081D61" w:rsidR="00BE68C4" w:rsidRPr="00195D25" w:rsidRDefault="00BE68C4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195D25">
        <w:rPr>
          <w:rFonts w:ascii="Garamond" w:hAnsi="Garamond"/>
        </w:rPr>
        <w:t xml:space="preserve">Operating </w:t>
      </w:r>
      <w:r w:rsidR="00CA728F" w:rsidRPr="00195D25">
        <w:rPr>
          <w:rFonts w:ascii="Garamond" w:hAnsi="Garamond"/>
        </w:rPr>
        <w:t>cost</w:t>
      </w:r>
    </w:p>
    <w:p w14:paraId="2150BFCE" w14:textId="04507219" w:rsidR="00F376D9" w:rsidRPr="00195D25" w:rsidRDefault="00F376D9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195D25">
        <w:rPr>
          <w:rFonts w:ascii="Garamond" w:hAnsi="Garamond"/>
        </w:rPr>
        <w:t xml:space="preserve">System </w:t>
      </w:r>
      <w:r w:rsidR="00FD304C" w:rsidRPr="00195D25">
        <w:rPr>
          <w:rFonts w:ascii="Garamond" w:hAnsi="Garamond"/>
        </w:rPr>
        <w:t>maintenance and rehabilitation costs</w:t>
      </w:r>
    </w:p>
    <w:p w14:paraId="661F20D3" w14:textId="33B50D71" w:rsidR="00FD5746" w:rsidRPr="00195D25" w:rsidRDefault="00FD5746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195D25">
        <w:rPr>
          <w:rFonts w:ascii="Garamond" w:hAnsi="Garamond"/>
        </w:rPr>
        <w:t xml:space="preserve">Capital Improvement Projects </w:t>
      </w:r>
      <w:r w:rsidR="00F376D9" w:rsidRPr="00195D25">
        <w:rPr>
          <w:rFonts w:ascii="Garamond" w:hAnsi="Garamond"/>
        </w:rPr>
        <w:t>(CIP) –</w:t>
      </w:r>
      <w:r w:rsidRPr="00195D25">
        <w:rPr>
          <w:rFonts w:ascii="Garamond" w:hAnsi="Garamond"/>
        </w:rPr>
        <w:t xml:space="preserve"> funding</w:t>
      </w:r>
      <w:r w:rsidR="00F376D9" w:rsidRPr="00195D25">
        <w:rPr>
          <w:rFonts w:ascii="Garamond" w:hAnsi="Garamond"/>
        </w:rPr>
        <w:t xml:space="preserve"> and timing</w:t>
      </w:r>
      <w:r w:rsidRPr="00195D25">
        <w:rPr>
          <w:rFonts w:ascii="Garamond" w:hAnsi="Garamond"/>
        </w:rPr>
        <w:t>, including debt service capacity</w:t>
      </w:r>
    </w:p>
    <w:p w14:paraId="3D954167" w14:textId="16B35DF0" w:rsidR="00FD5746" w:rsidRPr="00195D25" w:rsidRDefault="00FD5746" w:rsidP="00EA58D4">
      <w:pPr>
        <w:numPr>
          <w:ilvl w:val="0"/>
          <w:numId w:val="1"/>
        </w:numPr>
        <w:spacing w:after="120"/>
        <w:ind w:left="540"/>
        <w:contextualSpacing/>
        <w:rPr>
          <w:rFonts w:ascii="Garamond" w:hAnsi="Garamond"/>
        </w:rPr>
      </w:pPr>
      <w:r w:rsidRPr="00195D25">
        <w:rPr>
          <w:rFonts w:ascii="Garamond" w:hAnsi="Garamond"/>
        </w:rPr>
        <w:t>Equity between classes of customers, and current and future customers</w:t>
      </w:r>
    </w:p>
    <w:p w14:paraId="7A2785A5" w14:textId="58ED1B81" w:rsidR="00FD5746" w:rsidRPr="00195D25" w:rsidRDefault="00FD5746" w:rsidP="00EA58D4">
      <w:pPr>
        <w:numPr>
          <w:ilvl w:val="0"/>
          <w:numId w:val="1"/>
        </w:numPr>
        <w:ind w:left="540"/>
        <w:rPr>
          <w:rFonts w:ascii="Garamond" w:hAnsi="Garamond"/>
        </w:rPr>
      </w:pPr>
      <w:r w:rsidRPr="00195D25">
        <w:rPr>
          <w:rFonts w:ascii="Garamond" w:hAnsi="Garamond"/>
        </w:rPr>
        <w:t xml:space="preserve">Reserve </w:t>
      </w:r>
      <w:r w:rsidR="00FD304C" w:rsidRPr="00195D25">
        <w:rPr>
          <w:rFonts w:ascii="Garamond" w:hAnsi="Garamond"/>
        </w:rPr>
        <w:t xml:space="preserve">fund </w:t>
      </w:r>
      <w:r w:rsidRPr="00195D25">
        <w:rPr>
          <w:rFonts w:ascii="Garamond" w:hAnsi="Garamond"/>
        </w:rPr>
        <w:t>accumulation including capital, operating, and equipment reserves</w:t>
      </w:r>
    </w:p>
    <w:p w14:paraId="3823BB93" w14:textId="37F1FA5D" w:rsidR="00CE56F9" w:rsidRPr="00195D25" w:rsidRDefault="00CE56F9" w:rsidP="009B76D8">
      <w:pPr>
        <w:spacing w:before="160" w:after="120"/>
        <w:rPr>
          <w:rFonts w:ascii="Garamond" w:hAnsi="Garamond"/>
        </w:rPr>
      </w:pPr>
      <w:r w:rsidRPr="00195D25">
        <w:rPr>
          <w:rFonts w:ascii="Garamond" w:hAnsi="Garamond"/>
        </w:rPr>
        <w:t xml:space="preserve">The resultant study provides a detailed review of the District’s background, financial health, customer base, financial goals, </w:t>
      </w:r>
      <w:r w:rsidR="00C6741D">
        <w:rPr>
          <w:rFonts w:ascii="Garamond" w:hAnsi="Garamond"/>
        </w:rPr>
        <w:t>capital improvements</w:t>
      </w:r>
      <w:r w:rsidRPr="00195D25">
        <w:rPr>
          <w:rFonts w:ascii="Garamond" w:hAnsi="Garamond"/>
        </w:rPr>
        <w:t>, rate analysis, and development of new fees</w:t>
      </w:r>
      <w:r w:rsidR="007D5B5C" w:rsidRPr="00195D25">
        <w:rPr>
          <w:rFonts w:ascii="Garamond" w:hAnsi="Garamond"/>
        </w:rPr>
        <w:t xml:space="preserve">. </w:t>
      </w:r>
      <w:r w:rsidR="0084057A" w:rsidRPr="00195D25">
        <w:rPr>
          <w:rFonts w:ascii="Garamond" w:hAnsi="Garamond"/>
        </w:rPr>
        <w:t xml:space="preserve">The study provides an in-depth report on each element including tables, charts, and graphs, </w:t>
      </w:r>
      <w:r w:rsidR="00CA728F" w:rsidRPr="00195D25">
        <w:rPr>
          <w:rFonts w:ascii="Garamond" w:hAnsi="Garamond"/>
        </w:rPr>
        <w:t xml:space="preserve">providing </w:t>
      </w:r>
      <w:r w:rsidR="0084057A" w:rsidRPr="00195D25">
        <w:rPr>
          <w:rFonts w:ascii="Garamond" w:hAnsi="Garamond"/>
        </w:rPr>
        <w:t xml:space="preserve">a comprehensive picture of District finances. </w:t>
      </w:r>
    </w:p>
    <w:p w14:paraId="77DA97D7" w14:textId="4250F4CC" w:rsidR="00CA728F" w:rsidRPr="00195D25" w:rsidRDefault="00CA728F" w:rsidP="00CE56F9">
      <w:pPr>
        <w:spacing w:after="120"/>
        <w:contextualSpacing/>
        <w:rPr>
          <w:rFonts w:ascii="Arial Narrow" w:hAnsi="Arial Narrow"/>
          <w:b/>
          <w:bCs/>
        </w:rPr>
      </w:pPr>
      <w:r w:rsidRPr="00195D25">
        <w:rPr>
          <w:rFonts w:ascii="Arial Narrow" w:hAnsi="Arial Narrow"/>
          <w:b/>
          <w:bCs/>
        </w:rPr>
        <w:t>Topline Summary</w:t>
      </w:r>
    </w:p>
    <w:p w14:paraId="75DA366A" w14:textId="3354A502" w:rsidR="00CA728F" w:rsidRPr="00195D25" w:rsidRDefault="00CA728F" w:rsidP="00CE56F9">
      <w:pPr>
        <w:spacing w:after="120"/>
        <w:contextualSpacing/>
        <w:rPr>
          <w:rFonts w:ascii="Garamond" w:hAnsi="Garamond"/>
        </w:rPr>
      </w:pPr>
      <w:r w:rsidRPr="00195D25">
        <w:rPr>
          <w:rFonts w:ascii="Garamond" w:hAnsi="Garamond"/>
        </w:rPr>
        <w:t xml:space="preserve">The rate report is </w:t>
      </w:r>
      <w:r w:rsidR="00B8129F">
        <w:rPr>
          <w:rFonts w:ascii="Garamond" w:hAnsi="Garamond"/>
        </w:rPr>
        <w:t xml:space="preserve">an </w:t>
      </w:r>
      <w:r w:rsidRPr="00195D25">
        <w:rPr>
          <w:rFonts w:ascii="Garamond" w:hAnsi="Garamond"/>
        </w:rPr>
        <w:t>in-depth narrative that provides the findings, analysis, supporting charts and tables, best industry practices and reference</w:t>
      </w:r>
      <w:r w:rsidR="00C6741D">
        <w:rPr>
          <w:rFonts w:ascii="Garamond" w:hAnsi="Garamond"/>
        </w:rPr>
        <w:t>s</w:t>
      </w:r>
      <w:r w:rsidRPr="00195D25">
        <w:rPr>
          <w:rFonts w:ascii="Garamond" w:hAnsi="Garamond"/>
        </w:rPr>
        <w:t xml:space="preserve">, and similar pertinent factors that determined the recommendations provided in the report. All definitions, exceptions, exemptions, and classifications are explained in the report. The following is a topline of </w:t>
      </w:r>
      <w:r w:rsidR="00C6741D">
        <w:rPr>
          <w:rFonts w:ascii="Garamond" w:hAnsi="Garamond"/>
        </w:rPr>
        <w:t xml:space="preserve">rate-related </w:t>
      </w:r>
      <w:r w:rsidRPr="00195D25">
        <w:rPr>
          <w:rFonts w:ascii="Garamond" w:hAnsi="Garamond"/>
        </w:rPr>
        <w:t xml:space="preserve">key points </w:t>
      </w:r>
      <w:r w:rsidR="00C6741D">
        <w:rPr>
          <w:rFonts w:ascii="Garamond" w:hAnsi="Garamond"/>
        </w:rPr>
        <w:t>captured from the</w:t>
      </w:r>
      <w:r w:rsidRPr="00195D25">
        <w:rPr>
          <w:rFonts w:ascii="Garamond" w:hAnsi="Garamond"/>
        </w:rPr>
        <w:t xml:space="preserve"> report. </w:t>
      </w:r>
    </w:p>
    <w:p w14:paraId="420DA382" w14:textId="6DD074A1" w:rsidR="00CA728F" w:rsidRPr="00195D25" w:rsidRDefault="00CA728F" w:rsidP="001A13C2">
      <w:pPr>
        <w:pStyle w:val="ListParagraph"/>
        <w:numPr>
          <w:ilvl w:val="0"/>
          <w:numId w:val="7"/>
        </w:numPr>
        <w:spacing w:after="120"/>
        <w:ind w:left="360" w:hanging="360"/>
        <w:rPr>
          <w:rFonts w:ascii="Garamond" w:hAnsi="Garamond"/>
        </w:rPr>
      </w:pPr>
      <w:r w:rsidRPr="00195D25">
        <w:rPr>
          <w:rFonts w:ascii="Garamond" w:hAnsi="Garamond"/>
        </w:rPr>
        <w:t xml:space="preserve">Rate schedule increases for the next five years are recommended for water and sewer customers to keep pace with inflation, </w:t>
      </w:r>
      <w:r w:rsidR="00CC0ADE">
        <w:rPr>
          <w:rFonts w:ascii="Garamond" w:hAnsi="Garamond"/>
        </w:rPr>
        <w:t>maintain</w:t>
      </w:r>
      <w:r w:rsidR="00CC0ADE" w:rsidRPr="00195D25">
        <w:rPr>
          <w:rFonts w:ascii="Garamond" w:hAnsi="Garamond"/>
        </w:rPr>
        <w:t xml:space="preserve"> </w:t>
      </w:r>
      <w:r w:rsidR="00E17AAE" w:rsidRPr="00195D25">
        <w:rPr>
          <w:rFonts w:ascii="Garamond" w:hAnsi="Garamond"/>
        </w:rPr>
        <w:t>need</w:t>
      </w:r>
      <w:r w:rsidR="00E17AAE">
        <w:rPr>
          <w:rFonts w:ascii="Garamond" w:hAnsi="Garamond"/>
        </w:rPr>
        <w:t>ed</w:t>
      </w:r>
      <w:r w:rsidRPr="00195D25">
        <w:rPr>
          <w:rFonts w:ascii="Garamond" w:hAnsi="Garamond"/>
        </w:rPr>
        <w:t xml:space="preserve"> staffing, </w:t>
      </w:r>
      <w:r w:rsidR="00CC0ADE">
        <w:rPr>
          <w:rFonts w:ascii="Garamond" w:hAnsi="Garamond"/>
        </w:rPr>
        <w:t>meet required</w:t>
      </w:r>
      <w:r w:rsidRPr="00195D25">
        <w:rPr>
          <w:rFonts w:ascii="Garamond" w:hAnsi="Garamond"/>
        </w:rPr>
        <w:t xml:space="preserve"> rehabilitation costs, and maintain a prudent level of reserves.</w:t>
      </w:r>
    </w:p>
    <w:p w14:paraId="7D3DE47F" w14:textId="6C593DE9" w:rsidR="00CA728F" w:rsidRDefault="00CA728F" w:rsidP="001A13C2">
      <w:pPr>
        <w:pStyle w:val="ListParagraph"/>
        <w:numPr>
          <w:ilvl w:val="0"/>
          <w:numId w:val="7"/>
        </w:numPr>
        <w:spacing w:after="120"/>
        <w:ind w:left="360" w:hanging="360"/>
        <w:rPr>
          <w:rFonts w:ascii="Garamond" w:hAnsi="Garamond"/>
        </w:rPr>
      </w:pPr>
      <w:r w:rsidRPr="00195D25">
        <w:rPr>
          <w:rFonts w:ascii="Garamond" w:hAnsi="Garamond"/>
        </w:rPr>
        <w:t xml:space="preserve">Currently, water and sewer charges are billed as one charge. If adopted, water and sewer charges will be separated and assigned specific rate schedules. </w:t>
      </w:r>
      <w:r w:rsidR="00422F27">
        <w:rPr>
          <w:rFonts w:ascii="Garamond" w:hAnsi="Garamond"/>
        </w:rPr>
        <w:t>This</w:t>
      </w:r>
      <w:r w:rsidRPr="00195D25">
        <w:rPr>
          <w:rFonts w:ascii="Garamond" w:hAnsi="Garamond"/>
        </w:rPr>
        <w:t xml:space="preserve"> change will provide a clear delineation of customers</w:t>
      </w:r>
      <w:r w:rsidR="00422F27">
        <w:rPr>
          <w:rFonts w:ascii="Garamond" w:hAnsi="Garamond"/>
        </w:rPr>
        <w:t xml:space="preserve">’ </w:t>
      </w:r>
      <w:r w:rsidRPr="00195D25">
        <w:rPr>
          <w:rFonts w:ascii="Garamond" w:hAnsi="Garamond"/>
        </w:rPr>
        <w:t>pay</w:t>
      </w:r>
      <w:r w:rsidR="00422F27">
        <w:rPr>
          <w:rFonts w:ascii="Garamond" w:hAnsi="Garamond"/>
        </w:rPr>
        <w:t>ment responsibilities</w:t>
      </w:r>
      <w:r w:rsidRPr="00195D25">
        <w:rPr>
          <w:rFonts w:ascii="Garamond" w:hAnsi="Garamond"/>
        </w:rPr>
        <w:t xml:space="preserve"> for water and sewer</w:t>
      </w:r>
      <w:r w:rsidR="00CC0ADE">
        <w:rPr>
          <w:rFonts w:ascii="Garamond" w:hAnsi="Garamond"/>
        </w:rPr>
        <w:t xml:space="preserve"> services</w:t>
      </w:r>
      <w:r w:rsidRPr="00195D25">
        <w:rPr>
          <w:rFonts w:ascii="Garamond" w:hAnsi="Garamond"/>
        </w:rPr>
        <w:t xml:space="preserve">. </w:t>
      </w:r>
    </w:p>
    <w:p w14:paraId="1D0A4A76" w14:textId="71BA7154" w:rsidR="0028007A" w:rsidRPr="00195D25" w:rsidRDefault="0028007A" w:rsidP="001A13C2">
      <w:pPr>
        <w:pStyle w:val="ListParagraph"/>
        <w:numPr>
          <w:ilvl w:val="0"/>
          <w:numId w:val="7"/>
        </w:numPr>
        <w:spacing w:after="120"/>
        <w:ind w:left="360" w:hanging="360"/>
        <w:rPr>
          <w:rFonts w:ascii="Garamond" w:hAnsi="Garamond"/>
        </w:rPr>
      </w:pPr>
      <w:r>
        <w:rPr>
          <w:rFonts w:ascii="Garamond" w:hAnsi="Garamond"/>
        </w:rPr>
        <w:t xml:space="preserve">All customers, regardless of connection status, will pay </w:t>
      </w:r>
      <w:r w:rsidR="005A6871">
        <w:rPr>
          <w:rFonts w:ascii="Garamond" w:hAnsi="Garamond"/>
        </w:rPr>
        <w:t xml:space="preserve">a </w:t>
      </w:r>
      <w:r>
        <w:rPr>
          <w:rFonts w:ascii="Garamond" w:hAnsi="Garamond"/>
        </w:rPr>
        <w:t>customer fee</w:t>
      </w:r>
      <w:r w:rsidR="00F65D95">
        <w:rPr>
          <w:rFonts w:ascii="Garamond" w:hAnsi="Garamond"/>
        </w:rPr>
        <w:t xml:space="preserve"> and a service fee</w:t>
      </w:r>
      <w:r>
        <w:rPr>
          <w:rFonts w:ascii="Garamond" w:hAnsi="Garamond"/>
        </w:rPr>
        <w:t>. Connected lots will pay a usage fee (water) and flow charge (wastewater).</w:t>
      </w:r>
    </w:p>
    <w:p w14:paraId="3662D2EC" w14:textId="237BC3EF" w:rsidR="00CA728F" w:rsidRPr="0028007A" w:rsidRDefault="0028007A" w:rsidP="001A13C2">
      <w:pPr>
        <w:pStyle w:val="ListParagraph"/>
        <w:numPr>
          <w:ilvl w:val="0"/>
          <w:numId w:val="7"/>
        </w:numPr>
        <w:spacing w:after="120"/>
        <w:ind w:left="360" w:hanging="342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lastRenderedPageBreak/>
        <w:t>All residential and commercial lots in the District have connections available to the system and share to some extent in the cost of maintaining these infrastructure-intense systems.</w:t>
      </w:r>
      <w:r>
        <w:rPr>
          <w:rFonts w:ascii="Garamond" w:hAnsi="Garamond" w:cstheme="minorHAnsi"/>
          <w:color w:val="000000" w:themeColor="text1"/>
        </w:rPr>
        <w:t xml:space="preserve"> </w:t>
      </w:r>
      <w:r w:rsidR="00CA728F" w:rsidRPr="0028007A">
        <w:rPr>
          <w:rFonts w:ascii="Garamond" w:hAnsi="Garamond"/>
        </w:rPr>
        <w:t xml:space="preserve">To make the total cost allocation equitable, assessments for standby fees will be abandoned and all unconnected lots will </w:t>
      </w:r>
      <w:r w:rsidRPr="0028007A">
        <w:rPr>
          <w:rFonts w:ascii="Garamond" w:hAnsi="Garamond"/>
        </w:rPr>
        <w:t>pay a flat customer charge and service charge</w:t>
      </w:r>
      <w:r w:rsidR="00CA728F" w:rsidRPr="0028007A">
        <w:rPr>
          <w:rFonts w:ascii="Garamond" w:hAnsi="Garamond"/>
        </w:rPr>
        <w:t xml:space="preserve">. </w:t>
      </w:r>
    </w:p>
    <w:p w14:paraId="48B00E88" w14:textId="72D62B4E" w:rsidR="00CA728F" w:rsidRPr="00195D25" w:rsidRDefault="00CA728F" w:rsidP="001A13C2">
      <w:pPr>
        <w:pStyle w:val="ListParagraph"/>
        <w:numPr>
          <w:ilvl w:val="0"/>
          <w:numId w:val="7"/>
        </w:numPr>
        <w:spacing w:after="120"/>
        <w:ind w:left="360" w:hanging="360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>The rate schedules for water and sewer rates define charges for three classifications of customers:</w:t>
      </w:r>
    </w:p>
    <w:p w14:paraId="19624B19" w14:textId="0DB6D6A9" w:rsidR="00CA728F" w:rsidRPr="00195D25" w:rsidRDefault="00CA728F" w:rsidP="00CA101E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>Residential and Residential Commercial Lots</w:t>
      </w:r>
    </w:p>
    <w:p w14:paraId="3BCF7DE9" w14:textId="4E425E6B" w:rsidR="00CA728F" w:rsidRPr="00195D25" w:rsidRDefault="00CA728F" w:rsidP="00CA101E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>Commercial Lots</w:t>
      </w:r>
    </w:p>
    <w:p w14:paraId="632D0EED" w14:textId="44803BF7" w:rsidR="00CA728F" w:rsidRPr="00195D25" w:rsidRDefault="00CA728F" w:rsidP="00CA101E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>Unconnected Lots</w:t>
      </w:r>
    </w:p>
    <w:p w14:paraId="52F18FBF" w14:textId="7BAB470E" w:rsidR="00CA728F" w:rsidRPr="00195D25" w:rsidRDefault="00CA728F" w:rsidP="001A13C2">
      <w:pPr>
        <w:pStyle w:val="ListParagraph"/>
        <w:numPr>
          <w:ilvl w:val="0"/>
          <w:numId w:val="8"/>
        </w:numPr>
        <w:spacing w:after="120"/>
        <w:ind w:left="360" w:hanging="360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 xml:space="preserve">Each classification takes into consideration the usage demand and impact on the water and sewer systems. </w:t>
      </w:r>
    </w:p>
    <w:p w14:paraId="25C1403D" w14:textId="2093C6E3" w:rsidR="00CA728F" w:rsidRPr="00C12E05" w:rsidRDefault="00CA728F" w:rsidP="001A13C2">
      <w:pPr>
        <w:pStyle w:val="ListParagraph"/>
        <w:numPr>
          <w:ilvl w:val="0"/>
          <w:numId w:val="8"/>
        </w:numPr>
        <w:spacing w:after="120"/>
        <w:ind w:left="360" w:hanging="360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>Billings for water</w:t>
      </w:r>
      <w:r w:rsidR="00A0388F">
        <w:rPr>
          <w:rFonts w:ascii="Garamond" w:hAnsi="Garamond" w:cstheme="minorHAnsi"/>
          <w:color w:val="000000" w:themeColor="text1"/>
        </w:rPr>
        <w:t>, including water use,</w:t>
      </w:r>
      <w:r w:rsidRPr="00195D25">
        <w:rPr>
          <w:rFonts w:ascii="Garamond" w:hAnsi="Garamond" w:cstheme="minorHAnsi"/>
          <w:color w:val="000000" w:themeColor="text1"/>
        </w:rPr>
        <w:t xml:space="preserve"> and wastewater will be billed quarterly. </w:t>
      </w:r>
    </w:p>
    <w:p w14:paraId="45744257" w14:textId="35D6FDDC" w:rsidR="00CA728F" w:rsidRPr="00195D25" w:rsidRDefault="00A0388F" w:rsidP="00761D93">
      <w:pPr>
        <w:spacing w:after="0" w:line="240" w:lineRule="auto"/>
        <w:rPr>
          <w:rFonts w:ascii="Garamond" w:hAnsi="Garamond" w:cstheme="minorHAnsi"/>
          <w:b/>
          <w:bCs/>
          <w:color w:val="000000" w:themeColor="text1"/>
        </w:rPr>
      </w:pPr>
      <w:r>
        <w:rPr>
          <w:rFonts w:ascii="Garamond" w:hAnsi="Garamond" w:cstheme="minorHAnsi"/>
          <w:b/>
          <w:bCs/>
          <w:color w:val="000000" w:themeColor="text1"/>
        </w:rPr>
        <w:t xml:space="preserve">New </w:t>
      </w:r>
      <w:r w:rsidR="00CA728F" w:rsidRPr="00195D25">
        <w:rPr>
          <w:rFonts w:ascii="Garamond" w:hAnsi="Garamond" w:cstheme="minorHAnsi"/>
          <w:b/>
          <w:bCs/>
          <w:color w:val="000000" w:themeColor="text1"/>
        </w:rPr>
        <w:t>Water Rate Structure Overview</w:t>
      </w:r>
      <w:r w:rsidR="00DB64A5">
        <w:rPr>
          <w:rFonts w:ascii="Garamond" w:hAnsi="Garamond" w:cstheme="minorHAnsi"/>
          <w:b/>
          <w:bCs/>
          <w:color w:val="000000" w:themeColor="text1"/>
        </w:rPr>
        <w:t xml:space="preserve"> </w:t>
      </w:r>
    </w:p>
    <w:p w14:paraId="22044ED2" w14:textId="6C67744F" w:rsidR="00CA728F" w:rsidRPr="00195D25" w:rsidRDefault="00422F27" w:rsidP="005B3FF8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>
        <w:rPr>
          <w:rFonts w:ascii="Garamond" w:hAnsi="Garamond" w:cstheme="minorHAnsi"/>
          <w:color w:val="000000" w:themeColor="text1"/>
        </w:rPr>
        <w:t>Every three months, c</w:t>
      </w:r>
      <w:r w:rsidR="00CA728F" w:rsidRPr="00195D25">
        <w:rPr>
          <w:rFonts w:ascii="Garamond" w:hAnsi="Garamond" w:cstheme="minorHAnsi"/>
          <w:color w:val="000000" w:themeColor="text1"/>
        </w:rPr>
        <w:t>ustomers will pay a customer charge, service charge</w:t>
      </w:r>
      <w:r w:rsidR="00C6741D">
        <w:rPr>
          <w:rFonts w:ascii="Garamond" w:hAnsi="Garamond" w:cstheme="minorHAnsi"/>
          <w:color w:val="000000" w:themeColor="text1"/>
        </w:rPr>
        <w:t>,</w:t>
      </w:r>
      <w:r w:rsidR="00CA728F" w:rsidRPr="00195D25">
        <w:rPr>
          <w:rFonts w:ascii="Garamond" w:hAnsi="Garamond" w:cstheme="minorHAnsi"/>
          <w:color w:val="000000" w:themeColor="text1"/>
        </w:rPr>
        <w:t xml:space="preserve"> and usage charge for gallons used recorded through water meter</w:t>
      </w:r>
      <w:r w:rsidR="00A0388F">
        <w:rPr>
          <w:rFonts w:ascii="Garamond" w:hAnsi="Garamond" w:cstheme="minorHAnsi"/>
          <w:color w:val="000000" w:themeColor="text1"/>
        </w:rPr>
        <w:t>s</w:t>
      </w:r>
      <w:r w:rsidR="007C4379">
        <w:rPr>
          <w:rFonts w:ascii="Garamond" w:hAnsi="Garamond" w:cstheme="minorHAnsi"/>
          <w:color w:val="000000" w:themeColor="text1"/>
        </w:rPr>
        <w:t xml:space="preserve">, making customers more aware of their </w:t>
      </w:r>
      <w:r>
        <w:rPr>
          <w:rFonts w:ascii="Garamond" w:hAnsi="Garamond" w:cstheme="minorHAnsi"/>
          <w:color w:val="000000" w:themeColor="text1"/>
        </w:rPr>
        <w:t xml:space="preserve">actual </w:t>
      </w:r>
      <w:r w:rsidR="007C4379">
        <w:rPr>
          <w:rFonts w:ascii="Garamond" w:hAnsi="Garamond" w:cstheme="minorHAnsi"/>
          <w:color w:val="000000" w:themeColor="text1"/>
        </w:rPr>
        <w:t xml:space="preserve">water use. </w:t>
      </w:r>
    </w:p>
    <w:p w14:paraId="09AE2B2A" w14:textId="325EB696" w:rsidR="00CA728F" w:rsidRPr="00195D25" w:rsidRDefault="007C4379" w:rsidP="005B3FF8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>
        <w:rPr>
          <w:rFonts w:ascii="Garamond" w:hAnsi="Garamond" w:cstheme="minorHAnsi"/>
          <w:color w:val="000000" w:themeColor="text1"/>
        </w:rPr>
        <w:t>The current w</w:t>
      </w:r>
      <w:r w:rsidR="00CA728F" w:rsidRPr="00195D25">
        <w:rPr>
          <w:rFonts w:ascii="Garamond" w:hAnsi="Garamond" w:cstheme="minorHAnsi"/>
          <w:color w:val="000000" w:themeColor="text1"/>
        </w:rPr>
        <w:t>ater usage tiers</w:t>
      </w:r>
      <w:r w:rsidR="00C6741D">
        <w:rPr>
          <w:rFonts w:ascii="Garamond" w:hAnsi="Garamond" w:cstheme="minorHAnsi"/>
          <w:color w:val="000000" w:themeColor="text1"/>
        </w:rPr>
        <w:t xml:space="preserve"> </w:t>
      </w:r>
      <w:r w:rsidR="005211DB">
        <w:rPr>
          <w:rFonts w:ascii="Garamond" w:hAnsi="Garamond" w:cstheme="minorHAnsi"/>
          <w:color w:val="000000" w:themeColor="text1"/>
        </w:rPr>
        <w:t>will be</w:t>
      </w:r>
      <w:r w:rsidR="00C6741D">
        <w:rPr>
          <w:rFonts w:ascii="Garamond" w:hAnsi="Garamond" w:cstheme="minorHAnsi"/>
          <w:color w:val="000000" w:themeColor="text1"/>
        </w:rPr>
        <w:t xml:space="preserve"> removed</w:t>
      </w:r>
      <w:r w:rsidR="005211DB">
        <w:rPr>
          <w:rFonts w:ascii="Garamond" w:hAnsi="Garamond" w:cstheme="minorHAnsi"/>
          <w:color w:val="000000" w:themeColor="text1"/>
        </w:rPr>
        <w:t xml:space="preserve"> in compliance with State law when costs do not increase with increased water use on a per gallon basis.</w:t>
      </w:r>
      <w:r w:rsidR="00DB64A5">
        <w:rPr>
          <w:rFonts w:ascii="Garamond" w:hAnsi="Garamond" w:cstheme="minorHAnsi"/>
          <w:color w:val="000000" w:themeColor="text1"/>
        </w:rPr>
        <w:t xml:space="preserve"> </w:t>
      </w:r>
    </w:p>
    <w:p w14:paraId="4C8B739E" w14:textId="2A7D3732" w:rsidR="00CA728F" w:rsidRPr="00195D25" w:rsidRDefault="00CA728F" w:rsidP="005B3FF8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 xml:space="preserve">Residential and Commercial will pay </w:t>
      </w:r>
      <w:r w:rsidR="007C4379">
        <w:rPr>
          <w:rFonts w:ascii="Garamond" w:hAnsi="Garamond" w:cstheme="minorHAnsi"/>
          <w:color w:val="000000" w:themeColor="text1"/>
        </w:rPr>
        <w:t>the same rate</w:t>
      </w:r>
      <w:r w:rsidRPr="00195D25">
        <w:rPr>
          <w:rFonts w:ascii="Garamond" w:hAnsi="Garamond" w:cstheme="minorHAnsi"/>
          <w:color w:val="000000" w:themeColor="text1"/>
        </w:rPr>
        <w:t xml:space="preserve"> </w:t>
      </w:r>
      <w:r w:rsidR="005211DB">
        <w:rPr>
          <w:rFonts w:ascii="Garamond" w:hAnsi="Garamond" w:cstheme="minorHAnsi"/>
          <w:color w:val="000000" w:themeColor="text1"/>
        </w:rPr>
        <w:t>for every</w:t>
      </w:r>
      <w:r w:rsidRPr="00195D25">
        <w:rPr>
          <w:rFonts w:ascii="Garamond" w:hAnsi="Garamond" w:cstheme="minorHAnsi"/>
          <w:color w:val="000000" w:themeColor="text1"/>
        </w:rPr>
        <w:t xml:space="preserve"> 1,000 gallons</w:t>
      </w:r>
      <w:r w:rsidR="007C4379">
        <w:rPr>
          <w:rFonts w:ascii="Garamond" w:hAnsi="Garamond" w:cstheme="minorHAnsi"/>
          <w:color w:val="000000" w:themeColor="text1"/>
        </w:rPr>
        <w:t xml:space="preserve"> used</w:t>
      </w:r>
      <w:r w:rsidRPr="00195D25">
        <w:rPr>
          <w:rFonts w:ascii="Garamond" w:hAnsi="Garamond" w:cstheme="minorHAnsi"/>
          <w:color w:val="000000" w:themeColor="text1"/>
        </w:rPr>
        <w:t>.</w:t>
      </w:r>
    </w:p>
    <w:p w14:paraId="245B112C" w14:textId="6CE7075A" w:rsidR="00CA728F" w:rsidRPr="00195D25" w:rsidRDefault="00CA728F" w:rsidP="005B3FF8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>Unconnected lots will pay a customer charge</w:t>
      </w:r>
      <w:r w:rsidR="00422F27">
        <w:rPr>
          <w:rFonts w:ascii="Garamond" w:hAnsi="Garamond" w:cstheme="minorHAnsi"/>
          <w:color w:val="000000" w:themeColor="text1"/>
        </w:rPr>
        <w:t>,</w:t>
      </w:r>
      <w:r w:rsidRPr="00195D25">
        <w:rPr>
          <w:rFonts w:ascii="Garamond" w:hAnsi="Garamond" w:cstheme="minorHAnsi"/>
          <w:color w:val="000000" w:themeColor="text1"/>
        </w:rPr>
        <w:t xml:space="preserve"> and </w:t>
      </w:r>
      <w:r w:rsidR="00422F27">
        <w:rPr>
          <w:rFonts w:ascii="Garamond" w:hAnsi="Garamond" w:cstheme="minorHAnsi"/>
          <w:color w:val="000000" w:themeColor="text1"/>
        </w:rPr>
        <w:t xml:space="preserve">a </w:t>
      </w:r>
      <w:r w:rsidRPr="00195D25">
        <w:rPr>
          <w:rFonts w:ascii="Garamond" w:hAnsi="Garamond" w:cstheme="minorHAnsi"/>
          <w:color w:val="000000" w:themeColor="text1"/>
        </w:rPr>
        <w:t xml:space="preserve">service charge </w:t>
      </w:r>
      <w:r w:rsidR="00C6741D">
        <w:rPr>
          <w:rFonts w:ascii="Garamond" w:hAnsi="Garamond" w:cstheme="minorHAnsi"/>
          <w:color w:val="000000" w:themeColor="text1"/>
        </w:rPr>
        <w:t>based on</w:t>
      </w:r>
      <w:r w:rsidRPr="00195D25">
        <w:rPr>
          <w:rFonts w:ascii="Garamond" w:hAnsi="Garamond" w:cstheme="minorHAnsi"/>
          <w:color w:val="000000" w:themeColor="text1"/>
        </w:rPr>
        <w:t xml:space="preserve"> a </w:t>
      </w:r>
      <w:r w:rsidR="00422F27">
        <w:rPr>
          <w:rFonts w:ascii="Garamond" w:hAnsi="Garamond" w:cstheme="minorHAnsi"/>
          <w:color w:val="000000" w:themeColor="text1"/>
        </w:rPr>
        <w:t xml:space="preserve">standard </w:t>
      </w:r>
      <w:r w:rsidRPr="00195D25">
        <w:rPr>
          <w:rFonts w:ascii="Garamond" w:hAnsi="Garamond" w:cstheme="minorHAnsi"/>
          <w:color w:val="000000" w:themeColor="text1"/>
        </w:rPr>
        <w:t>1-inch</w:t>
      </w:r>
      <w:r w:rsidR="005211DB">
        <w:rPr>
          <w:rFonts w:ascii="Garamond" w:hAnsi="Garamond" w:cstheme="minorHAnsi"/>
          <w:color w:val="000000" w:themeColor="text1"/>
        </w:rPr>
        <w:t xml:space="preserve"> water service</w:t>
      </w:r>
      <w:r w:rsidR="00422F27">
        <w:rPr>
          <w:rFonts w:ascii="Garamond" w:hAnsi="Garamond" w:cstheme="minorHAnsi"/>
          <w:color w:val="000000" w:themeColor="text1"/>
        </w:rPr>
        <w:t xml:space="preserve"> connection</w:t>
      </w:r>
      <w:r w:rsidRPr="00195D25">
        <w:rPr>
          <w:rFonts w:ascii="Garamond" w:hAnsi="Garamond" w:cstheme="minorHAnsi"/>
          <w:color w:val="000000" w:themeColor="text1"/>
        </w:rPr>
        <w:t>; no</w:t>
      </w:r>
      <w:r w:rsidR="00422F27">
        <w:rPr>
          <w:rFonts w:ascii="Garamond" w:hAnsi="Garamond" w:cstheme="minorHAnsi"/>
          <w:color w:val="000000" w:themeColor="text1"/>
        </w:rPr>
        <w:t>t subject to a</w:t>
      </w:r>
      <w:r w:rsidRPr="00195D25">
        <w:rPr>
          <w:rFonts w:ascii="Garamond" w:hAnsi="Garamond" w:cstheme="minorHAnsi"/>
          <w:color w:val="000000" w:themeColor="text1"/>
        </w:rPr>
        <w:t xml:space="preserve"> usage charge until connected.</w:t>
      </w:r>
      <w:r w:rsidR="00DB64A5">
        <w:rPr>
          <w:rFonts w:ascii="Garamond" w:hAnsi="Garamond" w:cstheme="minorHAnsi"/>
          <w:color w:val="000000" w:themeColor="text1"/>
        </w:rPr>
        <w:t xml:space="preserve"> </w:t>
      </w:r>
    </w:p>
    <w:p w14:paraId="604C828A" w14:textId="14C2D810" w:rsidR="00CA728F" w:rsidRPr="00195D25" w:rsidRDefault="00A0388F" w:rsidP="00761D93">
      <w:pPr>
        <w:spacing w:after="0" w:line="240" w:lineRule="auto"/>
        <w:rPr>
          <w:rFonts w:ascii="Garamond" w:hAnsi="Garamond" w:cstheme="minorHAnsi"/>
          <w:b/>
          <w:bCs/>
          <w:color w:val="000000" w:themeColor="text1"/>
        </w:rPr>
      </w:pPr>
      <w:r>
        <w:rPr>
          <w:rFonts w:ascii="Garamond" w:hAnsi="Garamond" w:cstheme="minorHAnsi"/>
          <w:b/>
          <w:bCs/>
          <w:color w:val="000000" w:themeColor="text1"/>
        </w:rPr>
        <w:t xml:space="preserve">New </w:t>
      </w:r>
      <w:r w:rsidR="00CA728F" w:rsidRPr="00195D25">
        <w:rPr>
          <w:rFonts w:ascii="Garamond" w:hAnsi="Garamond" w:cstheme="minorHAnsi"/>
          <w:b/>
          <w:bCs/>
          <w:color w:val="000000" w:themeColor="text1"/>
        </w:rPr>
        <w:t>Wastewater Rate Structure Overview</w:t>
      </w:r>
    </w:p>
    <w:p w14:paraId="15FCCB77" w14:textId="253C973B" w:rsidR="00CA728F" w:rsidRPr="00195D25" w:rsidRDefault="009D3C43" w:rsidP="005B3FF8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>
        <w:rPr>
          <w:rFonts w:ascii="Garamond" w:hAnsi="Garamond" w:cstheme="minorHAnsi"/>
          <w:color w:val="000000" w:themeColor="text1"/>
        </w:rPr>
        <w:t>Connected c</w:t>
      </w:r>
      <w:r w:rsidR="00CA728F" w:rsidRPr="00195D25">
        <w:rPr>
          <w:rFonts w:ascii="Garamond" w:hAnsi="Garamond" w:cstheme="minorHAnsi"/>
          <w:color w:val="000000" w:themeColor="text1"/>
        </w:rPr>
        <w:t>ustomers will pay</w:t>
      </w:r>
      <w:r w:rsidR="00F47DF3">
        <w:rPr>
          <w:rFonts w:ascii="Garamond" w:hAnsi="Garamond" w:cstheme="minorHAnsi"/>
          <w:color w:val="000000" w:themeColor="text1"/>
        </w:rPr>
        <w:t xml:space="preserve"> </w:t>
      </w:r>
      <w:r w:rsidR="005211DB">
        <w:rPr>
          <w:rFonts w:ascii="Garamond" w:hAnsi="Garamond" w:cstheme="minorHAnsi"/>
          <w:color w:val="000000" w:themeColor="text1"/>
        </w:rPr>
        <w:t xml:space="preserve">a </w:t>
      </w:r>
      <w:r w:rsidR="00CA728F" w:rsidRPr="00195D25">
        <w:rPr>
          <w:rFonts w:ascii="Garamond" w:hAnsi="Garamond" w:cstheme="minorHAnsi"/>
          <w:color w:val="000000" w:themeColor="text1"/>
        </w:rPr>
        <w:t>customer charge, service charge and flow charge, which</w:t>
      </w:r>
      <w:r w:rsidR="00304655">
        <w:rPr>
          <w:rFonts w:ascii="Garamond" w:hAnsi="Garamond" w:cstheme="minorHAnsi"/>
          <w:color w:val="000000" w:themeColor="text1"/>
        </w:rPr>
        <w:t xml:space="preserve"> together comprises</w:t>
      </w:r>
      <w:r w:rsidR="00CA728F" w:rsidRPr="00195D25">
        <w:rPr>
          <w:rFonts w:ascii="Garamond" w:hAnsi="Garamond" w:cstheme="minorHAnsi"/>
          <w:color w:val="000000" w:themeColor="text1"/>
        </w:rPr>
        <w:t xml:space="preserve"> a flat charge</w:t>
      </w:r>
      <w:r w:rsidR="00304655">
        <w:rPr>
          <w:rFonts w:ascii="Garamond" w:hAnsi="Garamond" w:cstheme="minorHAnsi"/>
          <w:color w:val="000000" w:themeColor="text1"/>
        </w:rPr>
        <w:t xml:space="preserve"> billed every three months.</w:t>
      </w:r>
      <w:r w:rsidR="00CA728F" w:rsidRPr="00195D25">
        <w:rPr>
          <w:rFonts w:ascii="Garamond" w:hAnsi="Garamond" w:cstheme="minorHAnsi"/>
          <w:color w:val="000000" w:themeColor="text1"/>
        </w:rPr>
        <w:t xml:space="preserve"> </w:t>
      </w:r>
    </w:p>
    <w:p w14:paraId="1128AB0C" w14:textId="43D38BD2" w:rsidR="00CA728F" w:rsidRDefault="00CA728F" w:rsidP="005B3FF8">
      <w:pPr>
        <w:pStyle w:val="ListParagraph"/>
        <w:numPr>
          <w:ilvl w:val="0"/>
          <w:numId w:val="4"/>
        </w:numPr>
        <w:spacing w:after="120" w:line="240" w:lineRule="auto"/>
        <w:rPr>
          <w:rFonts w:ascii="Garamond" w:hAnsi="Garamond" w:cstheme="minorHAnsi"/>
          <w:color w:val="000000" w:themeColor="text1"/>
        </w:rPr>
      </w:pPr>
      <w:r w:rsidRPr="00195D25">
        <w:rPr>
          <w:rFonts w:ascii="Garamond" w:hAnsi="Garamond" w:cstheme="minorHAnsi"/>
          <w:color w:val="000000" w:themeColor="text1"/>
        </w:rPr>
        <w:t xml:space="preserve">Unconnected lots will pay </w:t>
      </w:r>
      <w:r w:rsidR="00F47DF3">
        <w:rPr>
          <w:rFonts w:ascii="Garamond" w:hAnsi="Garamond" w:cstheme="minorHAnsi"/>
          <w:color w:val="000000" w:themeColor="text1"/>
        </w:rPr>
        <w:t>a</w:t>
      </w:r>
      <w:r w:rsidRPr="00195D25">
        <w:rPr>
          <w:rFonts w:ascii="Garamond" w:hAnsi="Garamond" w:cstheme="minorHAnsi"/>
          <w:color w:val="000000" w:themeColor="text1"/>
        </w:rPr>
        <w:t xml:space="preserve"> flat customer charge and service charge </w:t>
      </w:r>
      <w:r w:rsidR="005211DB">
        <w:rPr>
          <w:rFonts w:ascii="Garamond" w:hAnsi="Garamond" w:cstheme="minorHAnsi"/>
          <w:color w:val="000000" w:themeColor="text1"/>
        </w:rPr>
        <w:t>for one</w:t>
      </w:r>
      <w:r w:rsidRPr="00195D25">
        <w:rPr>
          <w:rFonts w:ascii="Garamond" w:hAnsi="Garamond" w:cstheme="minorHAnsi"/>
          <w:color w:val="000000" w:themeColor="text1"/>
        </w:rPr>
        <w:t xml:space="preserve"> </w:t>
      </w:r>
      <w:r w:rsidR="00CA101E">
        <w:rPr>
          <w:rFonts w:ascii="Garamond" w:hAnsi="Garamond" w:cstheme="minorHAnsi"/>
          <w:color w:val="000000" w:themeColor="text1"/>
        </w:rPr>
        <w:t>Equivalent Dwelling Unit (</w:t>
      </w:r>
      <w:r w:rsidRPr="00195D25">
        <w:rPr>
          <w:rFonts w:ascii="Garamond" w:hAnsi="Garamond" w:cstheme="minorHAnsi"/>
          <w:color w:val="000000" w:themeColor="text1"/>
        </w:rPr>
        <w:t>EDU</w:t>
      </w:r>
      <w:r w:rsidR="00CA101E">
        <w:rPr>
          <w:rFonts w:ascii="Garamond" w:hAnsi="Garamond" w:cstheme="minorHAnsi"/>
          <w:color w:val="000000" w:themeColor="text1"/>
        </w:rPr>
        <w:t>)</w:t>
      </w:r>
      <w:r w:rsidRPr="00195D25">
        <w:rPr>
          <w:rFonts w:ascii="Garamond" w:hAnsi="Garamond" w:cstheme="minorHAnsi"/>
          <w:color w:val="000000" w:themeColor="text1"/>
        </w:rPr>
        <w:t>; no</w:t>
      </w:r>
      <w:r w:rsidR="00CA101E">
        <w:rPr>
          <w:rFonts w:ascii="Garamond" w:hAnsi="Garamond" w:cstheme="minorHAnsi"/>
          <w:color w:val="000000" w:themeColor="text1"/>
        </w:rPr>
        <w:t>t subject to a</w:t>
      </w:r>
      <w:r w:rsidRPr="00195D25">
        <w:rPr>
          <w:rFonts w:ascii="Garamond" w:hAnsi="Garamond" w:cstheme="minorHAnsi"/>
          <w:color w:val="000000" w:themeColor="text1"/>
        </w:rPr>
        <w:t xml:space="preserve"> flow charge until connected.</w:t>
      </w:r>
    </w:p>
    <w:p w14:paraId="5577A760" w14:textId="77777777" w:rsidR="00195D25" w:rsidRPr="00195D25" w:rsidRDefault="00195D25" w:rsidP="00195D25">
      <w:pPr>
        <w:pStyle w:val="ListParagraph"/>
        <w:spacing w:after="120"/>
        <w:rPr>
          <w:rFonts w:ascii="Garamond" w:hAnsi="Garamond" w:cstheme="minorHAnsi"/>
          <w:color w:val="000000" w:themeColor="text1"/>
        </w:rPr>
      </w:pPr>
    </w:p>
    <w:p w14:paraId="50CED093" w14:textId="292470F2" w:rsidR="00C12E05" w:rsidRPr="00C12E05" w:rsidRDefault="00C12E05" w:rsidP="005A6871">
      <w:pPr>
        <w:pStyle w:val="ListParagraph"/>
        <w:ind w:left="0"/>
        <w:rPr>
          <w:rFonts w:ascii="Arial Narrow" w:hAnsi="Arial Narrow" w:cs="Arial"/>
          <w:b/>
          <w:bCs/>
          <w:color w:val="000000" w:themeColor="text1"/>
        </w:rPr>
      </w:pPr>
      <w:r w:rsidRPr="00C12E05">
        <w:rPr>
          <w:rFonts w:ascii="Arial Narrow" w:hAnsi="Arial Narrow" w:cs="Arial"/>
          <w:b/>
          <w:bCs/>
          <w:color w:val="000000" w:themeColor="text1"/>
        </w:rPr>
        <w:t>Rate Impact Tables Should the Proposed Rates be Adopted</w:t>
      </w:r>
    </w:p>
    <w:p w14:paraId="4903A11C" w14:textId="7CE74F01" w:rsidR="005A6871" w:rsidRPr="005A6871" w:rsidRDefault="00CA728F" w:rsidP="009B76D8">
      <w:pPr>
        <w:pStyle w:val="ListParagraph"/>
        <w:ind w:left="0"/>
        <w:contextualSpacing w:val="0"/>
        <w:rPr>
          <w:rFonts w:ascii="Garamond" w:hAnsi="Garamond"/>
          <w:sz w:val="24"/>
          <w:szCs w:val="24"/>
        </w:rPr>
      </w:pPr>
      <w:r w:rsidRPr="005A6871">
        <w:rPr>
          <w:rFonts w:ascii="Garamond" w:hAnsi="Garamond" w:cstheme="minorHAnsi"/>
          <w:b/>
          <w:bCs/>
          <w:color w:val="000000" w:themeColor="text1"/>
        </w:rPr>
        <w:t>District Rate Impacts</w:t>
      </w:r>
      <w:r w:rsidR="005A6871">
        <w:rPr>
          <w:rFonts w:ascii="Garamond" w:hAnsi="Garamond" w:cstheme="minorHAnsi"/>
          <w:b/>
          <w:bCs/>
          <w:color w:val="000000" w:themeColor="text1"/>
        </w:rPr>
        <w:t xml:space="preserve">: </w:t>
      </w:r>
      <w:r w:rsidR="005A6871" w:rsidRPr="005A6871">
        <w:rPr>
          <w:rFonts w:ascii="Garamond" w:hAnsi="Garamond"/>
        </w:rPr>
        <w:t>Adopting the recommended rates places the District on sound financial footing through 2027</w:t>
      </w:r>
      <w:r w:rsidR="005A6871">
        <w:rPr>
          <w:rFonts w:ascii="Garamond" w:hAnsi="Garamond"/>
        </w:rPr>
        <w:t>.</w:t>
      </w:r>
    </w:p>
    <w:p w14:paraId="4E982D81" w14:textId="51914260" w:rsidR="00CA728F" w:rsidRPr="00195D25" w:rsidRDefault="00195D25" w:rsidP="00195D25">
      <w:pPr>
        <w:pStyle w:val="ListParagraph"/>
        <w:ind w:left="0"/>
        <w:rPr>
          <w:rFonts w:ascii="Calibri" w:hAnsi="Calibri" w:cs="Calibri"/>
          <w:b/>
          <w:sz w:val="23"/>
          <w:szCs w:val="23"/>
        </w:rPr>
      </w:pPr>
      <w:r w:rsidRPr="00195D25">
        <w:rPr>
          <w:rFonts w:ascii="Garamond" w:hAnsi="Garamond" w:cs="Calibri"/>
          <w:b/>
        </w:rPr>
        <w:t>Projected District Year-End Cash Balances</w:t>
      </w:r>
      <w:r w:rsidR="005A6871">
        <w:rPr>
          <w:rFonts w:ascii="Garamond" w:hAnsi="Garamond" w:cs="Calibri"/>
          <w:b/>
        </w:rPr>
        <w:t xml:space="preserve"> </w:t>
      </w:r>
    </w:p>
    <w:p w14:paraId="3380120D" w14:textId="57B081C1" w:rsidR="001456A7" w:rsidRDefault="00304655" w:rsidP="009B76D8">
      <w:pPr>
        <w:spacing w:after="120"/>
        <w:rPr>
          <w:rFonts w:ascii="Garamond" w:hAnsi="Garamond"/>
          <w:b/>
          <w:bCs/>
        </w:rPr>
      </w:pPr>
      <w:r w:rsidRPr="00304655">
        <w:rPr>
          <w:rFonts w:ascii="Garamond" w:hAnsi="Garamond" w:cstheme="minorHAnsi"/>
          <w:noProof/>
          <w:color w:val="000000" w:themeColor="text1"/>
        </w:rPr>
        <w:drawing>
          <wp:inline distT="0" distB="0" distL="0" distR="0" wp14:anchorId="0AE35BDC" wp14:editId="2B8FF3E6">
            <wp:extent cx="5669280" cy="30022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B7F18" w14:textId="3C3AB6B5" w:rsidR="00CA728F" w:rsidRPr="009B76D8" w:rsidRDefault="00CA728F" w:rsidP="00195D25">
      <w:pPr>
        <w:pStyle w:val="NoSpacing"/>
        <w:rPr>
          <w:rFonts w:ascii="Garamond" w:hAnsi="Garamond"/>
          <w:b/>
          <w:bCs/>
          <w:sz w:val="28"/>
          <w:szCs w:val="28"/>
        </w:rPr>
      </w:pPr>
      <w:r w:rsidRPr="009B76D8">
        <w:rPr>
          <w:rFonts w:ascii="Garamond" w:hAnsi="Garamond"/>
          <w:b/>
          <w:bCs/>
          <w:sz w:val="28"/>
          <w:szCs w:val="28"/>
        </w:rPr>
        <w:lastRenderedPageBreak/>
        <w:t>Customer</w:t>
      </w:r>
      <w:r w:rsidR="00195D25" w:rsidRPr="009B76D8">
        <w:rPr>
          <w:rFonts w:ascii="Garamond" w:hAnsi="Garamond"/>
          <w:b/>
          <w:bCs/>
          <w:sz w:val="28"/>
          <w:szCs w:val="28"/>
        </w:rPr>
        <w:t xml:space="preserve"> </w:t>
      </w:r>
      <w:r w:rsidRPr="009B76D8">
        <w:rPr>
          <w:rFonts w:ascii="Garamond" w:hAnsi="Garamond"/>
          <w:b/>
          <w:bCs/>
          <w:sz w:val="28"/>
          <w:szCs w:val="28"/>
        </w:rPr>
        <w:t>Rate Impacts</w:t>
      </w:r>
    </w:p>
    <w:p w14:paraId="4D761870" w14:textId="77777777" w:rsidR="00195D25" w:rsidRPr="00195D25" w:rsidRDefault="00195D25" w:rsidP="00195D25">
      <w:pPr>
        <w:pStyle w:val="NoSpacing"/>
        <w:rPr>
          <w:rFonts w:ascii="Garamond" w:hAnsi="Garamond"/>
          <w:b/>
          <w:bCs/>
        </w:rPr>
      </w:pPr>
    </w:p>
    <w:p w14:paraId="68632D29" w14:textId="77777777" w:rsidR="00195D25" w:rsidRPr="00195D25" w:rsidRDefault="00195D25" w:rsidP="00195D25">
      <w:pPr>
        <w:pStyle w:val="NoSpacing"/>
        <w:rPr>
          <w:rFonts w:ascii="Garamond" w:hAnsi="Garamond" w:cs="Calibri"/>
          <w:b/>
          <w:bCs/>
        </w:rPr>
      </w:pPr>
      <w:r w:rsidRPr="00195D25">
        <w:rPr>
          <w:rFonts w:ascii="Garamond" w:hAnsi="Garamond" w:cs="Calibri"/>
          <w:b/>
          <w:bCs/>
        </w:rPr>
        <w:t>Annual Utility Bill Projection for a Typical Residential Lot using 72,000 Gallons</w:t>
      </w:r>
    </w:p>
    <w:p w14:paraId="767FED89" w14:textId="6BA85864" w:rsidR="00CA728F" w:rsidRPr="00195D25" w:rsidRDefault="00304655" w:rsidP="00CA728F">
      <w:pPr>
        <w:spacing w:after="120"/>
        <w:rPr>
          <w:rFonts w:ascii="Garamond" w:hAnsi="Garamond" w:cstheme="minorHAnsi"/>
          <w:color w:val="000000" w:themeColor="text1"/>
        </w:rPr>
      </w:pPr>
      <w:r w:rsidRPr="00304655">
        <w:rPr>
          <w:rFonts w:ascii="Garamond" w:hAnsi="Garamond" w:cstheme="minorHAnsi"/>
          <w:noProof/>
          <w:color w:val="000000" w:themeColor="text1"/>
        </w:rPr>
        <w:drawing>
          <wp:inline distT="0" distB="0" distL="0" distR="0" wp14:anchorId="60655422" wp14:editId="49DFBFF5">
            <wp:extent cx="3713268" cy="2101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946" cy="2106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CE59F" w14:textId="11E9905B" w:rsidR="00CA728F" w:rsidRPr="00C6741D" w:rsidRDefault="00195D25" w:rsidP="00195D25">
      <w:pPr>
        <w:pStyle w:val="NoSpacing"/>
        <w:rPr>
          <w:rFonts w:ascii="Garamond" w:hAnsi="Garamond"/>
          <w:b/>
          <w:bCs/>
        </w:rPr>
      </w:pPr>
      <w:r w:rsidRPr="00195D25">
        <w:rPr>
          <w:rFonts w:ascii="Garamond" w:hAnsi="Garamond"/>
          <w:b/>
          <w:bCs/>
        </w:rPr>
        <w:t>Annual Utility Bill Projection for an Unconnected Lot</w:t>
      </w:r>
    </w:p>
    <w:p w14:paraId="2136CF6A" w14:textId="1F5BBED7" w:rsidR="00195D25" w:rsidRDefault="00304655" w:rsidP="00CA728F">
      <w:pPr>
        <w:spacing w:after="120"/>
        <w:rPr>
          <w:rFonts w:ascii="Garamond" w:hAnsi="Garamond" w:cstheme="minorHAnsi"/>
          <w:color w:val="000000" w:themeColor="text1"/>
        </w:rPr>
      </w:pPr>
      <w:r w:rsidRPr="00304655">
        <w:rPr>
          <w:rFonts w:ascii="Garamond" w:hAnsi="Garamond" w:cstheme="minorHAnsi"/>
          <w:noProof/>
          <w:color w:val="000000" w:themeColor="text1"/>
        </w:rPr>
        <w:drawing>
          <wp:inline distT="0" distB="0" distL="0" distR="0" wp14:anchorId="0BF95E11" wp14:editId="5A936AE4">
            <wp:extent cx="3825452" cy="2165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737" cy="217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EE48C" w14:textId="77777777" w:rsidR="00195D25" w:rsidRPr="00195D25" w:rsidRDefault="00195D25" w:rsidP="00195D25">
      <w:pPr>
        <w:pStyle w:val="NoSpacing"/>
        <w:rPr>
          <w:rFonts w:ascii="Garamond" w:hAnsi="Garamond"/>
          <w:b/>
          <w:bCs/>
        </w:rPr>
      </w:pPr>
      <w:r w:rsidRPr="00195D25">
        <w:rPr>
          <w:rFonts w:ascii="Garamond" w:hAnsi="Garamond"/>
          <w:b/>
          <w:bCs/>
        </w:rPr>
        <w:t>Year 1 Impact to Non-Residential Accounts</w:t>
      </w:r>
    </w:p>
    <w:p w14:paraId="4980D16C" w14:textId="68F0556E" w:rsidR="00CA728F" w:rsidRPr="00195D25" w:rsidRDefault="00304655" w:rsidP="00CE56F9">
      <w:pPr>
        <w:spacing w:after="120"/>
        <w:rPr>
          <w:rFonts w:ascii="Garamond" w:hAnsi="Garamond" w:cstheme="minorHAnsi"/>
        </w:rPr>
      </w:pPr>
      <w:r w:rsidRPr="00304655">
        <w:rPr>
          <w:rFonts w:ascii="Garamond" w:hAnsi="Garamond" w:cstheme="minorHAnsi"/>
          <w:noProof/>
          <w:color w:val="000000" w:themeColor="text1"/>
        </w:rPr>
        <w:drawing>
          <wp:inline distT="0" distB="0" distL="0" distR="0" wp14:anchorId="0133C596" wp14:editId="45A693D8">
            <wp:extent cx="3966308" cy="25781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655" cy="258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728F" w:rsidRPr="00195D25" w:rsidSect="00195D25">
      <w:footerReference w:type="default" r:id="rId12"/>
      <w:pgSz w:w="12240" w:h="15840"/>
      <w:pgMar w:top="144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D14F9" w14:textId="77777777" w:rsidR="006B294A" w:rsidRDefault="006B294A" w:rsidP="0019769C">
      <w:pPr>
        <w:spacing w:after="0" w:line="240" w:lineRule="auto"/>
      </w:pPr>
      <w:r>
        <w:separator/>
      </w:r>
    </w:p>
  </w:endnote>
  <w:endnote w:type="continuationSeparator" w:id="0">
    <w:p w14:paraId="347F1783" w14:textId="77777777" w:rsidR="006B294A" w:rsidRDefault="006B294A" w:rsidP="0019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01920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5B1CE" w14:textId="78434F42" w:rsidR="0019769C" w:rsidRDefault="0019769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ADEEE0" w14:textId="77777777" w:rsidR="0019769C" w:rsidRDefault="0019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9078A" w14:textId="77777777" w:rsidR="006B294A" w:rsidRDefault="006B294A" w:rsidP="0019769C">
      <w:pPr>
        <w:spacing w:after="0" w:line="240" w:lineRule="auto"/>
      </w:pPr>
      <w:r>
        <w:separator/>
      </w:r>
    </w:p>
  </w:footnote>
  <w:footnote w:type="continuationSeparator" w:id="0">
    <w:p w14:paraId="22C10A73" w14:textId="77777777" w:rsidR="006B294A" w:rsidRDefault="006B294A" w:rsidP="0019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26121"/>
    <w:multiLevelType w:val="hybridMultilevel"/>
    <w:tmpl w:val="0A246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34907"/>
    <w:multiLevelType w:val="hybridMultilevel"/>
    <w:tmpl w:val="CC04614E"/>
    <w:lvl w:ilvl="0" w:tplc="7AB84A2A">
      <w:start w:val="1"/>
      <w:numFmt w:val="bullet"/>
      <w:lvlText w:val=""/>
      <w:lvlJc w:val="left"/>
      <w:pPr>
        <w:ind w:left="432" w:firstLine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15D4B"/>
    <w:multiLevelType w:val="multilevel"/>
    <w:tmpl w:val="0A2466BE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8776A"/>
    <w:multiLevelType w:val="multilevel"/>
    <w:tmpl w:val="F51CBE0A"/>
    <w:styleLink w:val="CurrentList1"/>
    <w:lvl w:ilvl="0">
      <w:start w:val="1"/>
      <w:numFmt w:val="bullet"/>
      <w:lvlText w:val=""/>
      <w:lvlJc w:val="left"/>
      <w:pPr>
        <w:ind w:left="720" w:hanging="72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B4DAD"/>
    <w:multiLevelType w:val="hybridMultilevel"/>
    <w:tmpl w:val="72F6DCB0"/>
    <w:lvl w:ilvl="0" w:tplc="D5D632FE">
      <w:start w:val="1"/>
      <w:numFmt w:val="bullet"/>
      <w:lvlText w:val=""/>
      <w:lvlJc w:val="left"/>
      <w:pPr>
        <w:ind w:left="432" w:hanging="432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52C13"/>
    <w:multiLevelType w:val="hybridMultilevel"/>
    <w:tmpl w:val="2A402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D1644"/>
    <w:multiLevelType w:val="hybridMultilevel"/>
    <w:tmpl w:val="598818C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78E9278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360BBD"/>
    <w:multiLevelType w:val="hybridMultilevel"/>
    <w:tmpl w:val="F51CBE0A"/>
    <w:lvl w:ilvl="0" w:tplc="83942550">
      <w:start w:val="1"/>
      <w:numFmt w:val="bullet"/>
      <w:lvlText w:val="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6006E"/>
    <w:multiLevelType w:val="hybridMultilevel"/>
    <w:tmpl w:val="420E894E"/>
    <w:lvl w:ilvl="0" w:tplc="02D274A8">
      <w:start w:val="1"/>
      <w:numFmt w:val="bullet"/>
      <w:lvlText w:val=""/>
      <w:lvlJc w:val="left"/>
      <w:pPr>
        <w:ind w:left="432" w:hanging="43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014D2"/>
    <w:multiLevelType w:val="hybridMultilevel"/>
    <w:tmpl w:val="00B2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E3D59"/>
    <w:multiLevelType w:val="hybridMultilevel"/>
    <w:tmpl w:val="82126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DB"/>
    <w:rsid w:val="00007190"/>
    <w:rsid w:val="00062B53"/>
    <w:rsid w:val="000901C6"/>
    <w:rsid w:val="00095DFA"/>
    <w:rsid w:val="000E5EDB"/>
    <w:rsid w:val="0014006D"/>
    <w:rsid w:val="001456A7"/>
    <w:rsid w:val="00157C09"/>
    <w:rsid w:val="00174431"/>
    <w:rsid w:val="0017469D"/>
    <w:rsid w:val="00195D25"/>
    <w:rsid w:val="0019769C"/>
    <w:rsid w:val="001A13C2"/>
    <w:rsid w:val="001C3194"/>
    <w:rsid w:val="001F7525"/>
    <w:rsid w:val="00227BA5"/>
    <w:rsid w:val="00257EE8"/>
    <w:rsid w:val="0028007A"/>
    <w:rsid w:val="00304655"/>
    <w:rsid w:val="00333359"/>
    <w:rsid w:val="00343C1E"/>
    <w:rsid w:val="00350A32"/>
    <w:rsid w:val="00365E5B"/>
    <w:rsid w:val="00422F27"/>
    <w:rsid w:val="004326C8"/>
    <w:rsid w:val="004414F8"/>
    <w:rsid w:val="00496C3F"/>
    <w:rsid w:val="005013F7"/>
    <w:rsid w:val="0051675F"/>
    <w:rsid w:val="005211DB"/>
    <w:rsid w:val="005549E6"/>
    <w:rsid w:val="00561A61"/>
    <w:rsid w:val="00594E85"/>
    <w:rsid w:val="005A6871"/>
    <w:rsid w:val="005B3FF8"/>
    <w:rsid w:val="005E6F36"/>
    <w:rsid w:val="006132E4"/>
    <w:rsid w:val="00672714"/>
    <w:rsid w:val="00693C76"/>
    <w:rsid w:val="006A092C"/>
    <w:rsid w:val="006B294A"/>
    <w:rsid w:val="006D7F91"/>
    <w:rsid w:val="007127BF"/>
    <w:rsid w:val="00715022"/>
    <w:rsid w:val="00727981"/>
    <w:rsid w:val="0074554D"/>
    <w:rsid w:val="00761D93"/>
    <w:rsid w:val="00763C23"/>
    <w:rsid w:val="0077111A"/>
    <w:rsid w:val="007C0953"/>
    <w:rsid w:val="007C4379"/>
    <w:rsid w:val="007D5B5C"/>
    <w:rsid w:val="007F3286"/>
    <w:rsid w:val="0081055C"/>
    <w:rsid w:val="00820196"/>
    <w:rsid w:val="0084057A"/>
    <w:rsid w:val="00864707"/>
    <w:rsid w:val="00894FF2"/>
    <w:rsid w:val="008B45DB"/>
    <w:rsid w:val="008F4284"/>
    <w:rsid w:val="009B76D8"/>
    <w:rsid w:val="009D3C43"/>
    <w:rsid w:val="00A0388F"/>
    <w:rsid w:val="00A21C3D"/>
    <w:rsid w:val="00A81E7B"/>
    <w:rsid w:val="00AD2966"/>
    <w:rsid w:val="00AE599B"/>
    <w:rsid w:val="00B4341A"/>
    <w:rsid w:val="00B7008A"/>
    <w:rsid w:val="00B8129F"/>
    <w:rsid w:val="00BE68C4"/>
    <w:rsid w:val="00C04258"/>
    <w:rsid w:val="00C12E05"/>
    <w:rsid w:val="00C32689"/>
    <w:rsid w:val="00C6741D"/>
    <w:rsid w:val="00CA101E"/>
    <w:rsid w:val="00CA728F"/>
    <w:rsid w:val="00CC0ADE"/>
    <w:rsid w:val="00CE56F9"/>
    <w:rsid w:val="00CF5609"/>
    <w:rsid w:val="00D364F7"/>
    <w:rsid w:val="00D40F6A"/>
    <w:rsid w:val="00D51122"/>
    <w:rsid w:val="00DB64A5"/>
    <w:rsid w:val="00DD4A9B"/>
    <w:rsid w:val="00E1216D"/>
    <w:rsid w:val="00E17AAE"/>
    <w:rsid w:val="00E734F7"/>
    <w:rsid w:val="00EA58D4"/>
    <w:rsid w:val="00EF5458"/>
    <w:rsid w:val="00F26F04"/>
    <w:rsid w:val="00F376D9"/>
    <w:rsid w:val="00F47DF3"/>
    <w:rsid w:val="00F65D95"/>
    <w:rsid w:val="00FD304C"/>
    <w:rsid w:val="00FD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40899"/>
  <w15:chartTrackingRefBased/>
  <w15:docId w15:val="{97528F26-FDCB-41A7-8F5D-CC901AEE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901C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728F"/>
    <w:pPr>
      <w:ind w:left="720"/>
      <w:contextualSpacing/>
    </w:pPr>
  </w:style>
  <w:style w:type="paragraph" w:styleId="NoSpacing">
    <w:name w:val="No Spacing"/>
    <w:uiPriority w:val="1"/>
    <w:qFormat/>
    <w:rsid w:val="00195D25"/>
    <w:pPr>
      <w:spacing w:after="0" w:line="240" w:lineRule="auto"/>
    </w:pPr>
  </w:style>
  <w:style w:type="numbering" w:customStyle="1" w:styleId="CurrentList1">
    <w:name w:val="Current List1"/>
    <w:uiPriority w:val="99"/>
    <w:rsid w:val="00195D25"/>
    <w:pPr>
      <w:numPr>
        <w:numId w:val="6"/>
      </w:numPr>
    </w:pPr>
  </w:style>
  <w:style w:type="numbering" w:customStyle="1" w:styleId="CurrentList2">
    <w:name w:val="Current List2"/>
    <w:uiPriority w:val="99"/>
    <w:rsid w:val="00195D25"/>
    <w:pPr>
      <w:numPr>
        <w:numId w:val="9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A03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8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88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7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69C"/>
  </w:style>
  <w:style w:type="paragraph" w:styleId="Footer">
    <w:name w:val="footer"/>
    <w:basedOn w:val="Normal"/>
    <w:link w:val="FooterChar"/>
    <w:uiPriority w:val="99"/>
    <w:unhideWhenUsed/>
    <w:rsid w:val="00197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6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1453</Words>
  <Characters>8285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Tiana Bradley</cp:lastModifiedBy>
  <cp:revision>2</cp:revision>
  <cp:lastPrinted>2022-02-15T18:47:00Z</cp:lastPrinted>
  <dcterms:created xsi:type="dcterms:W3CDTF">2022-02-22T18:42:00Z</dcterms:created>
  <dcterms:modified xsi:type="dcterms:W3CDTF">2022-02-22T18:42:00Z</dcterms:modified>
</cp:coreProperties>
</file>